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95" w:rsidRPr="00477CFC" w:rsidRDefault="008D3895" w:rsidP="00AE6D70">
      <w:pPr>
        <w:tabs>
          <w:tab w:val="left" w:pos="720"/>
          <w:tab w:val="left" w:pos="1080"/>
          <w:tab w:val="left" w:pos="1440"/>
          <w:tab w:val="left" w:pos="1800"/>
          <w:tab w:val="left" w:pos="2160"/>
          <w:tab w:val="left" w:pos="2520"/>
          <w:tab w:val="left" w:pos="2880"/>
        </w:tabs>
        <w:jc w:val="center"/>
        <w:rPr>
          <w:rFonts w:ascii="Arial" w:hAnsi="Arial" w:cs="Arial"/>
          <w:b/>
          <w:sz w:val="28"/>
          <w:szCs w:val="28"/>
        </w:rPr>
      </w:pPr>
      <w:bookmarkStart w:id="0" w:name="_GoBack"/>
      <w:bookmarkEnd w:id="0"/>
      <w:r w:rsidRPr="00477CFC">
        <w:rPr>
          <w:rFonts w:ascii="Arial" w:hAnsi="Arial" w:cs="Arial"/>
          <w:b/>
          <w:sz w:val="28"/>
          <w:szCs w:val="28"/>
        </w:rPr>
        <w:t xml:space="preserve">New Estimates of the Future Path of 401(k) Assets </w:t>
      </w:r>
    </w:p>
    <w:p w:rsidR="009F3690" w:rsidRPr="00477CFC" w:rsidRDefault="009F3690" w:rsidP="00AE6D70">
      <w:pPr>
        <w:tabs>
          <w:tab w:val="left" w:pos="720"/>
          <w:tab w:val="left" w:pos="1080"/>
          <w:tab w:val="left" w:pos="1440"/>
          <w:tab w:val="left" w:pos="1800"/>
          <w:tab w:val="left" w:pos="2160"/>
          <w:tab w:val="left" w:pos="2520"/>
          <w:tab w:val="left" w:pos="2880"/>
        </w:tabs>
        <w:jc w:val="center"/>
        <w:rPr>
          <w:rFonts w:ascii="Arial" w:hAnsi="Arial" w:cs="Arial"/>
          <w:b/>
        </w:rPr>
      </w:pPr>
    </w:p>
    <w:p w:rsidR="009F3690" w:rsidRPr="00477CFC" w:rsidRDefault="009F3690" w:rsidP="00AE6D70">
      <w:pPr>
        <w:tabs>
          <w:tab w:val="left" w:pos="720"/>
          <w:tab w:val="left" w:pos="1080"/>
          <w:tab w:val="left" w:pos="1440"/>
          <w:tab w:val="left" w:pos="1800"/>
          <w:tab w:val="left" w:pos="2160"/>
          <w:tab w:val="left" w:pos="2520"/>
          <w:tab w:val="left" w:pos="2880"/>
        </w:tabs>
        <w:jc w:val="center"/>
        <w:rPr>
          <w:rFonts w:ascii="Arial" w:hAnsi="Arial" w:cs="Arial"/>
          <w:b/>
        </w:rPr>
      </w:pPr>
    </w:p>
    <w:p w:rsidR="005D275D" w:rsidRPr="00477CFC" w:rsidRDefault="005D275D" w:rsidP="00AE6D70">
      <w:pPr>
        <w:tabs>
          <w:tab w:val="left" w:pos="720"/>
          <w:tab w:val="left" w:pos="1080"/>
          <w:tab w:val="left" w:pos="1440"/>
          <w:tab w:val="left" w:pos="1800"/>
          <w:tab w:val="left" w:pos="2160"/>
          <w:tab w:val="left" w:pos="2520"/>
          <w:tab w:val="left" w:pos="2880"/>
        </w:tabs>
        <w:jc w:val="center"/>
        <w:rPr>
          <w:rFonts w:ascii="Arial" w:hAnsi="Arial" w:cs="Arial"/>
        </w:rPr>
      </w:pPr>
      <w:r w:rsidRPr="00477CFC">
        <w:rPr>
          <w:rFonts w:ascii="Arial" w:hAnsi="Arial" w:cs="Arial"/>
        </w:rPr>
        <w:t>By</w:t>
      </w:r>
    </w:p>
    <w:p w:rsidR="009F3690" w:rsidRPr="00477CFC" w:rsidRDefault="009F3690" w:rsidP="00AE6D70">
      <w:pPr>
        <w:tabs>
          <w:tab w:val="left" w:pos="720"/>
          <w:tab w:val="left" w:pos="1080"/>
          <w:tab w:val="left" w:pos="1440"/>
          <w:tab w:val="left" w:pos="1800"/>
          <w:tab w:val="left" w:pos="2160"/>
          <w:tab w:val="left" w:pos="2520"/>
          <w:tab w:val="left" w:pos="2880"/>
        </w:tabs>
        <w:jc w:val="center"/>
        <w:rPr>
          <w:rFonts w:ascii="Arial" w:hAnsi="Arial" w:cs="Arial"/>
        </w:rPr>
      </w:pPr>
    </w:p>
    <w:p w:rsidR="00EB5466" w:rsidRPr="00477CFC" w:rsidRDefault="00EB5466" w:rsidP="00AE6D70">
      <w:pPr>
        <w:jc w:val="center"/>
        <w:rPr>
          <w:rFonts w:ascii="Arial" w:hAnsi="Arial" w:cs="Arial"/>
        </w:rPr>
      </w:pPr>
      <w:r w:rsidRPr="00477CFC">
        <w:rPr>
          <w:rFonts w:ascii="Arial" w:hAnsi="Arial" w:cs="Arial"/>
        </w:rPr>
        <w:t>James Poterba</w:t>
      </w:r>
    </w:p>
    <w:p w:rsidR="00EB5466" w:rsidRPr="00477CFC" w:rsidRDefault="00EB5466" w:rsidP="00AE6D70">
      <w:pPr>
        <w:jc w:val="center"/>
        <w:rPr>
          <w:rFonts w:ascii="Arial" w:hAnsi="Arial" w:cs="Arial"/>
        </w:rPr>
      </w:pPr>
      <w:r w:rsidRPr="00477CFC">
        <w:rPr>
          <w:rFonts w:ascii="Arial" w:hAnsi="Arial" w:cs="Arial"/>
        </w:rPr>
        <w:t>MIT and NBER</w:t>
      </w:r>
    </w:p>
    <w:p w:rsidR="00EB5466" w:rsidRPr="00477CFC" w:rsidRDefault="00EB5466" w:rsidP="00AE6D70">
      <w:pPr>
        <w:jc w:val="center"/>
        <w:rPr>
          <w:rFonts w:ascii="Arial" w:hAnsi="Arial" w:cs="Arial"/>
        </w:rPr>
      </w:pPr>
    </w:p>
    <w:p w:rsidR="00EB5466" w:rsidRPr="00477CFC" w:rsidRDefault="00EB5466" w:rsidP="00AE6D70">
      <w:pPr>
        <w:jc w:val="center"/>
        <w:rPr>
          <w:rFonts w:ascii="Arial" w:hAnsi="Arial" w:cs="Arial"/>
        </w:rPr>
      </w:pPr>
      <w:r w:rsidRPr="00477CFC">
        <w:rPr>
          <w:rFonts w:ascii="Arial" w:hAnsi="Arial" w:cs="Arial"/>
        </w:rPr>
        <w:t>Steven Venti</w:t>
      </w:r>
    </w:p>
    <w:p w:rsidR="00EB5466" w:rsidRPr="00477CFC" w:rsidRDefault="00EB5466" w:rsidP="00AE6D70">
      <w:pPr>
        <w:jc w:val="center"/>
        <w:rPr>
          <w:rFonts w:ascii="Arial" w:hAnsi="Arial" w:cs="Arial"/>
        </w:rPr>
      </w:pPr>
      <w:smartTag w:uri="urn:schemas-microsoft-com:office:smarttags" w:element="place">
        <w:smartTag w:uri="urn:schemas-microsoft-com:office:smarttags" w:element="PlaceName">
          <w:r w:rsidRPr="00477CFC">
            <w:rPr>
              <w:rFonts w:ascii="Arial" w:hAnsi="Arial" w:cs="Arial"/>
            </w:rPr>
            <w:t>Dartmouth</w:t>
          </w:r>
        </w:smartTag>
        <w:r w:rsidRPr="00477CFC">
          <w:rPr>
            <w:rFonts w:ascii="Arial" w:hAnsi="Arial" w:cs="Arial"/>
          </w:rPr>
          <w:t xml:space="preserve"> </w:t>
        </w:r>
        <w:smartTag w:uri="urn:schemas-microsoft-com:office:smarttags" w:element="PlaceType">
          <w:r w:rsidRPr="00477CFC">
            <w:rPr>
              <w:rFonts w:ascii="Arial" w:hAnsi="Arial" w:cs="Arial"/>
            </w:rPr>
            <w:t>College</w:t>
          </w:r>
        </w:smartTag>
      </w:smartTag>
      <w:r w:rsidRPr="00477CFC">
        <w:rPr>
          <w:rFonts w:ascii="Arial" w:hAnsi="Arial" w:cs="Arial"/>
        </w:rPr>
        <w:t xml:space="preserve"> and NBER</w:t>
      </w:r>
    </w:p>
    <w:p w:rsidR="00EB5466" w:rsidRPr="00477CFC" w:rsidRDefault="00EB5466" w:rsidP="00AE6D70">
      <w:pPr>
        <w:jc w:val="center"/>
        <w:rPr>
          <w:rFonts w:ascii="Arial" w:hAnsi="Arial" w:cs="Arial"/>
        </w:rPr>
      </w:pPr>
    </w:p>
    <w:p w:rsidR="00EB5466" w:rsidRPr="00477CFC" w:rsidRDefault="00EB5466" w:rsidP="00AE6D70">
      <w:pPr>
        <w:jc w:val="center"/>
        <w:rPr>
          <w:rFonts w:ascii="Arial" w:hAnsi="Arial" w:cs="Arial"/>
        </w:rPr>
      </w:pPr>
      <w:r w:rsidRPr="00477CFC">
        <w:rPr>
          <w:rFonts w:ascii="Arial" w:hAnsi="Arial" w:cs="Arial"/>
        </w:rPr>
        <w:t>David A. Wise</w:t>
      </w:r>
    </w:p>
    <w:p w:rsidR="00EB5466" w:rsidRPr="00477CFC" w:rsidRDefault="00EB5466" w:rsidP="00AE6D70">
      <w:pPr>
        <w:jc w:val="center"/>
        <w:rPr>
          <w:rFonts w:ascii="Arial" w:hAnsi="Arial" w:cs="Arial"/>
        </w:rPr>
      </w:pPr>
      <w:smartTag w:uri="urn:schemas-microsoft-com:office:smarttags" w:element="place">
        <w:smartTag w:uri="urn:schemas-microsoft-com:office:smarttags" w:element="PlaceName">
          <w:r w:rsidRPr="00477CFC">
            <w:rPr>
              <w:rFonts w:ascii="Arial" w:hAnsi="Arial" w:cs="Arial"/>
            </w:rPr>
            <w:t>Harvard</w:t>
          </w:r>
        </w:smartTag>
        <w:r w:rsidRPr="00477CFC">
          <w:rPr>
            <w:rFonts w:ascii="Arial" w:hAnsi="Arial" w:cs="Arial"/>
          </w:rPr>
          <w:t xml:space="preserve"> </w:t>
        </w:r>
        <w:smartTag w:uri="urn:schemas-microsoft-com:office:smarttags" w:element="PlaceType">
          <w:r w:rsidRPr="00477CFC">
            <w:rPr>
              <w:rFonts w:ascii="Arial" w:hAnsi="Arial" w:cs="Arial"/>
            </w:rPr>
            <w:t>University</w:t>
          </w:r>
        </w:smartTag>
      </w:smartTag>
      <w:r w:rsidRPr="00477CFC">
        <w:rPr>
          <w:rFonts w:ascii="Arial" w:hAnsi="Arial" w:cs="Arial"/>
        </w:rPr>
        <w:t xml:space="preserve"> and NBER</w:t>
      </w:r>
    </w:p>
    <w:p w:rsidR="00723E20" w:rsidRPr="00477CFC" w:rsidRDefault="00723E20" w:rsidP="00AE6D70">
      <w:pPr>
        <w:jc w:val="center"/>
        <w:rPr>
          <w:rFonts w:ascii="Arial" w:hAnsi="Arial" w:cs="Arial"/>
        </w:rPr>
      </w:pPr>
    </w:p>
    <w:p w:rsidR="00723E20" w:rsidRPr="00477CFC" w:rsidRDefault="00723E20" w:rsidP="00AE6D70">
      <w:pPr>
        <w:jc w:val="center"/>
        <w:rPr>
          <w:rFonts w:ascii="Arial" w:hAnsi="Arial" w:cs="Arial"/>
        </w:rPr>
      </w:pPr>
    </w:p>
    <w:p w:rsidR="00723E20" w:rsidRPr="00477CFC" w:rsidRDefault="00723E20" w:rsidP="00AE6D70">
      <w:pPr>
        <w:jc w:val="center"/>
        <w:rPr>
          <w:rFonts w:ascii="Arial" w:hAnsi="Arial" w:cs="Arial"/>
        </w:rPr>
      </w:pPr>
    </w:p>
    <w:p w:rsidR="00E035DB" w:rsidRPr="00477CFC" w:rsidRDefault="00F27600" w:rsidP="00AE6D70">
      <w:pPr>
        <w:pStyle w:val="Title"/>
        <w:rPr>
          <w:rFonts w:ascii="Arial" w:hAnsi="Arial" w:cs="Arial"/>
          <w:b w:val="0"/>
          <w:szCs w:val="24"/>
        </w:rPr>
      </w:pPr>
      <w:r w:rsidRPr="00477CFC">
        <w:rPr>
          <w:rFonts w:ascii="Arial" w:hAnsi="Arial" w:cs="Arial"/>
          <w:b w:val="0"/>
          <w:szCs w:val="24"/>
        </w:rPr>
        <w:t>April</w:t>
      </w:r>
      <w:r w:rsidR="00DD1D08" w:rsidRPr="00477CFC">
        <w:rPr>
          <w:rFonts w:ascii="Arial" w:hAnsi="Arial" w:cs="Arial"/>
          <w:b w:val="0"/>
          <w:szCs w:val="24"/>
        </w:rPr>
        <w:t xml:space="preserve"> 2007</w:t>
      </w:r>
    </w:p>
    <w:p w:rsidR="00A13B8D" w:rsidRPr="00477CFC" w:rsidRDefault="00A13B8D" w:rsidP="00AE6D70">
      <w:pPr>
        <w:pStyle w:val="Title"/>
        <w:rPr>
          <w:rFonts w:ascii="Arial" w:hAnsi="Arial" w:cs="Arial"/>
          <w:b w:val="0"/>
          <w:szCs w:val="24"/>
        </w:rPr>
      </w:pPr>
    </w:p>
    <w:p w:rsidR="00A13B8D" w:rsidRPr="00477CFC" w:rsidRDefault="00A13B8D" w:rsidP="00AE6D70">
      <w:pPr>
        <w:pStyle w:val="Title"/>
        <w:rPr>
          <w:rFonts w:ascii="Arial" w:hAnsi="Arial" w:cs="Arial"/>
          <w:b w:val="0"/>
          <w:szCs w:val="24"/>
        </w:rPr>
      </w:pPr>
    </w:p>
    <w:p w:rsidR="00A13B8D" w:rsidRPr="00477CFC" w:rsidRDefault="00A13B8D" w:rsidP="00AE6D70">
      <w:pPr>
        <w:pStyle w:val="Title"/>
        <w:rPr>
          <w:rFonts w:ascii="Arial" w:hAnsi="Arial" w:cs="Arial"/>
          <w:b w:val="0"/>
          <w:szCs w:val="24"/>
        </w:rPr>
      </w:pPr>
    </w:p>
    <w:p w:rsidR="008F4C04" w:rsidRPr="00477CFC" w:rsidRDefault="00DD1D08" w:rsidP="008F4C04">
      <w:pPr>
        <w:tabs>
          <w:tab w:val="left" w:pos="-720"/>
        </w:tabs>
        <w:suppressAutoHyphens/>
        <w:rPr>
          <w:rFonts w:ascii="Arial" w:hAnsi="Arial" w:cs="Arial"/>
        </w:rPr>
      </w:pPr>
      <w:r w:rsidRPr="00477CFC">
        <w:rPr>
          <w:rFonts w:ascii="Arial" w:hAnsi="Arial" w:cs="Arial"/>
          <w:b/>
        </w:rPr>
        <w:t>Abstract:</w:t>
      </w:r>
      <w:r w:rsidRPr="00477CFC">
        <w:rPr>
          <w:rFonts w:ascii="Arial" w:hAnsi="Arial" w:cs="Arial"/>
        </w:rPr>
        <w:t xml:space="preserve"> </w:t>
      </w:r>
      <w:r w:rsidR="008F4C04" w:rsidRPr="00477CFC">
        <w:rPr>
          <w:rFonts w:ascii="Arial" w:hAnsi="Arial" w:cs="Arial"/>
        </w:rPr>
        <w:t xml:space="preserve">Over the past two and a half decades there has been a fundamental change in saving for retirement in the </w:t>
      </w:r>
      <w:smartTag w:uri="urn:schemas-microsoft-com:office:smarttags" w:element="place">
        <w:smartTag w:uri="urn:schemas-microsoft-com:office:smarttags" w:element="country-region">
          <w:r w:rsidR="008F4C04" w:rsidRPr="00477CFC">
            <w:rPr>
              <w:rFonts w:ascii="Arial" w:hAnsi="Arial" w:cs="Arial"/>
            </w:rPr>
            <w:t>United States</w:t>
          </w:r>
        </w:smartTag>
      </w:smartTag>
      <w:r w:rsidR="008F4C04" w:rsidRPr="00477CFC">
        <w:rPr>
          <w:rFonts w:ascii="Arial" w:hAnsi="Arial" w:cs="Arial"/>
        </w:rPr>
        <w:t>, with a rapid shift from employer-managed defined benefit pensions to defined contribution saving plans that are largely controlled by employees.  To understand how this change will affect the well-being of future retirees, we project the future growth of assets in self-directed personal retirement plans.</w:t>
      </w:r>
      <w:r w:rsidR="009F3690" w:rsidRPr="00477CFC">
        <w:rPr>
          <w:rFonts w:ascii="Arial" w:hAnsi="Arial" w:cs="Arial"/>
        </w:rPr>
        <w:t xml:space="preserve">  We proj</w:t>
      </w:r>
      <w:r w:rsidR="004B0480" w:rsidRPr="00477CFC">
        <w:rPr>
          <w:rFonts w:ascii="Arial" w:hAnsi="Arial" w:cs="Arial"/>
        </w:rPr>
        <w:t>ect the 401(k) assets</w:t>
      </w:r>
      <w:r w:rsidR="007731DA" w:rsidRPr="00477CFC">
        <w:rPr>
          <w:rFonts w:ascii="Arial" w:hAnsi="Arial" w:cs="Arial"/>
        </w:rPr>
        <w:t xml:space="preserve"> at age 65 for </w:t>
      </w:r>
      <w:r w:rsidR="009F3690" w:rsidRPr="00477CFC">
        <w:rPr>
          <w:rFonts w:ascii="Arial" w:hAnsi="Arial" w:cs="Arial"/>
        </w:rPr>
        <w:t>cohorts attaining age 65 between 2000 and 2040.</w:t>
      </w:r>
      <w:r w:rsidR="008F4C04" w:rsidRPr="00477CFC">
        <w:rPr>
          <w:rFonts w:ascii="Arial" w:hAnsi="Arial" w:cs="Arial"/>
        </w:rPr>
        <w:t xml:space="preserve">  </w:t>
      </w:r>
      <w:r w:rsidR="009F3690" w:rsidRPr="00477CFC">
        <w:rPr>
          <w:rFonts w:ascii="Arial" w:hAnsi="Arial" w:cs="Arial"/>
        </w:rPr>
        <w:t>We also project the total value of assets in 401(k) accounts in each year through 2040 and we project the value of 401(k) assets as a percent of GDP over this period.  We conclude that cohorts that attain age 65 in future decades wil</w:t>
      </w:r>
      <w:r w:rsidR="008B2872" w:rsidRPr="00477CFC">
        <w:rPr>
          <w:rFonts w:ascii="Arial" w:hAnsi="Arial" w:cs="Arial"/>
        </w:rPr>
        <w:t xml:space="preserve">l have accumulated much greater </w:t>
      </w:r>
      <w:r w:rsidR="009F3690" w:rsidRPr="00477CFC">
        <w:rPr>
          <w:rFonts w:ascii="Arial" w:hAnsi="Arial" w:cs="Arial"/>
        </w:rPr>
        <w:t>retirement saving</w:t>
      </w:r>
      <w:r w:rsidR="00226953" w:rsidRPr="00477CFC">
        <w:rPr>
          <w:rFonts w:ascii="Arial" w:hAnsi="Arial" w:cs="Arial"/>
        </w:rPr>
        <w:t xml:space="preserve"> (in real dollars)</w:t>
      </w:r>
      <w:r w:rsidR="009F3690" w:rsidRPr="00477CFC">
        <w:rPr>
          <w:rFonts w:ascii="Arial" w:hAnsi="Arial" w:cs="Arial"/>
        </w:rPr>
        <w:t xml:space="preserve"> than the retirement saving of current retirees.</w:t>
      </w:r>
    </w:p>
    <w:p w:rsidR="008F4C04" w:rsidRPr="00477CFC" w:rsidRDefault="008F4C04" w:rsidP="008F4C04">
      <w:pPr>
        <w:tabs>
          <w:tab w:val="left" w:pos="-720"/>
        </w:tabs>
        <w:suppressAutoHyphens/>
        <w:rPr>
          <w:rFonts w:ascii="Arial" w:hAnsi="Arial" w:cs="Arial"/>
        </w:rPr>
      </w:pPr>
    </w:p>
    <w:p w:rsidR="00A13B8D" w:rsidRPr="00477CFC" w:rsidRDefault="00A13B8D" w:rsidP="00AE6D70">
      <w:pPr>
        <w:rPr>
          <w:rFonts w:ascii="Arial" w:hAnsi="Arial" w:cs="Arial"/>
          <w:b/>
        </w:rPr>
      </w:pPr>
    </w:p>
    <w:p w:rsidR="00A13B8D" w:rsidRPr="00477CFC" w:rsidRDefault="00A13B8D" w:rsidP="00AE6D70">
      <w:pPr>
        <w:rPr>
          <w:rFonts w:ascii="Arial" w:hAnsi="Arial" w:cs="Arial"/>
          <w:b/>
        </w:rPr>
      </w:pPr>
    </w:p>
    <w:p w:rsidR="00A13B8D" w:rsidRPr="00477CFC" w:rsidRDefault="00A13B8D" w:rsidP="00AE6D70">
      <w:pPr>
        <w:rPr>
          <w:rFonts w:ascii="Arial" w:hAnsi="Arial" w:cs="Arial"/>
          <w:b/>
        </w:rPr>
      </w:pPr>
    </w:p>
    <w:p w:rsidR="00723E20" w:rsidRPr="00477CFC" w:rsidRDefault="00723E20" w:rsidP="00AE6D70">
      <w:pPr>
        <w:rPr>
          <w:rFonts w:ascii="Arial" w:hAnsi="Arial" w:cs="Arial"/>
          <w:b/>
        </w:rPr>
      </w:pPr>
    </w:p>
    <w:p w:rsidR="00723E20" w:rsidRPr="00477CFC" w:rsidRDefault="00723E20" w:rsidP="00AE6D70">
      <w:pPr>
        <w:rPr>
          <w:rFonts w:ascii="Arial" w:hAnsi="Arial" w:cs="Arial"/>
          <w:b/>
        </w:rPr>
      </w:pPr>
    </w:p>
    <w:p w:rsidR="00723E20" w:rsidRPr="00477CFC" w:rsidRDefault="00723E20" w:rsidP="00AE6D70">
      <w:pPr>
        <w:pStyle w:val="BodyText"/>
        <w:jc w:val="left"/>
        <w:rPr>
          <w:rFonts w:ascii="Arial" w:hAnsi="Arial" w:cs="Arial"/>
          <w:szCs w:val="24"/>
        </w:rPr>
        <w:sectPr w:rsidR="00723E20" w:rsidRPr="00477CFC" w:rsidSect="00B2060B">
          <w:headerReference w:type="default" r:id="rId8"/>
          <w:footerReference w:type="even" r:id="rId9"/>
          <w:footerReference w:type="default" r:id="rId10"/>
          <w:pgSz w:w="12240" w:h="15840" w:code="1"/>
          <w:pgMar w:top="1440" w:right="1800" w:bottom="1440" w:left="1800" w:header="720" w:footer="720" w:gutter="0"/>
          <w:cols w:space="720"/>
          <w:titlePg/>
        </w:sectPr>
      </w:pPr>
      <w:r w:rsidRPr="00477CFC">
        <w:rPr>
          <w:rFonts w:ascii="Arial" w:hAnsi="Arial" w:cs="Arial"/>
          <w:szCs w:val="24"/>
        </w:rPr>
        <w:t>The research reported herein was pursuant to a grant from the U.S. Social Security Administration (SSA) funded as part of the Retirement Research Consortium .</w:t>
      </w:r>
      <w:r w:rsidR="001D1FC6" w:rsidRPr="00477CFC">
        <w:rPr>
          <w:rFonts w:ascii="Arial" w:hAnsi="Arial" w:cs="Arial"/>
          <w:szCs w:val="24"/>
        </w:rPr>
        <w:t xml:space="preserve">  We also received funding from the National Institute of Aging through grant </w:t>
      </w:r>
      <w:r w:rsidR="003A316C" w:rsidRPr="00477CFC">
        <w:rPr>
          <w:rFonts w:ascii="Arial" w:hAnsi="Arial" w:cs="Arial"/>
          <w:szCs w:val="24"/>
        </w:rPr>
        <w:t>P01 AG005842 to the National Bureau of Economic Research.  The findings and conclusions expressed are solely those of the authors and do not represent the views of SSA, any agency of the Federal Government or the NBER.</w:t>
      </w:r>
    </w:p>
    <w:p w:rsidR="00E13FAA" w:rsidRPr="00477CFC" w:rsidRDefault="00E13FAA" w:rsidP="00AE6D70">
      <w:pPr>
        <w:tabs>
          <w:tab w:val="left" w:pos="-180"/>
          <w:tab w:val="left" w:pos="0"/>
          <w:tab w:val="left" w:pos="720"/>
          <w:tab w:val="left" w:pos="1440"/>
          <w:tab w:val="left" w:pos="1800"/>
          <w:tab w:val="left" w:pos="2160"/>
          <w:tab w:val="left" w:pos="2520"/>
          <w:tab w:val="left" w:pos="2880"/>
        </w:tabs>
        <w:spacing w:before="120"/>
        <w:jc w:val="center"/>
        <w:rPr>
          <w:rFonts w:ascii="Arial" w:hAnsi="Arial" w:cs="Arial"/>
        </w:rPr>
      </w:pPr>
    </w:p>
    <w:p w:rsidR="00422179" w:rsidRPr="00477CFC" w:rsidRDefault="00F47E92"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952B97" w:rsidRPr="00477CFC">
        <w:rPr>
          <w:rFonts w:ascii="Arial" w:hAnsi="Arial" w:cs="Arial"/>
        </w:rPr>
        <w:t xml:space="preserve">Over the past two and a half decades </w:t>
      </w:r>
      <w:r w:rsidR="003D7999" w:rsidRPr="00477CFC">
        <w:rPr>
          <w:rFonts w:ascii="Arial" w:hAnsi="Arial" w:cs="Arial"/>
        </w:rPr>
        <w:t xml:space="preserve">there has been a fundamental change in </w:t>
      </w:r>
      <w:r w:rsidR="00952B97" w:rsidRPr="00477CFC">
        <w:rPr>
          <w:rFonts w:ascii="Arial" w:hAnsi="Arial" w:cs="Arial"/>
        </w:rPr>
        <w:t xml:space="preserve">saving for retirement in the </w:t>
      </w:r>
      <w:smartTag w:uri="urn:schemas-microsoft-com:office:smarttags" w:element="place">
        <w:smartTag w:uri="urn:schemas-microsoft-com:office:smarttags" w:element="country-region">
          <w:r w:rsidR="00952B97" w:rsidRPr="00477CFC">
            <w:rPr>
              <w:rFonts w:ascii="Arial" w:hAnsi="Arial" w:cs="Arial"/>
            </w:rPr>
            <w:t>United States</w:t>
          </w:r>
        </w:smartTag>
      </w:smartTag>
      <w:r w:rsidR="00BC7998" w:rsidRPr="00477CFC">
        <w:rPr>
          <w:rFonts w:ascii="Arial" w:hAnsi="Arial" w:cs="Arial"/>
        </w:rPr>
        <w:t xml:space="preserve">, with a </w:t>
      </w:r>
      <w:r w:rsidR="003D7999" w:rsidRPr="00477CFC">
        <w:rPr>
          <w:rFonts w:ascii="Arial" w:hAnsi="Arial" w:cs="Arial"/>
        </w:rPr>
        <w:t xml:space="preserve">rapid shift from saving through employer-managed defined benefit pensions to defined contribution retirement saving plans that are largely controlled by employees.  In 1980, 92 percent of private retirement saving contributions </w:t>
      </w:r>
      <w:r w:rsidR="001D1FC6" w:rsidRPr="00477CFC">
        <w:rPr>
          <w:rFonts w:ascii="Arial" w:hAnsi="Arial" w:cs="Arial"/>
        </w:rPr>
        <w:t>were</w:t>
      </w:r>
      <w:r w:rsidR="003D7999" w:rsidRPr="00477CFC">
        <w:rPr>
          <w:rFonts w:ascii="Arial" w:hAnsi="Arial" w:cs="Arial"/>
        </w:rPr>
        <w:t xml:space="preserve"> to employer</w:t>
      </w:r>
      <w:r w:rsidR="001D1FC6" w:rsidRPr="00477CFC">
        <w:rPr>
          <w:rFonts w:ascii="Arial" w:hAnsi="Arial" w:cs="Arial"/>
        </w:rPr>
        <w:t xml:space="preserve"> </w:t>
      </w:r>
      <w:r w:rsidR="003D7999" w:rsidRPr="00477CFC">
        <w:rPr>
          <w:rFonts w:ascii="Arial" w:hAnsi="Arial" w:cs="Arial"/>
        </w:rPr>
        <w:t xml:space="preserve">plans; 64 percent of these contributions were to defined benefit plans.  </w:t>
      </w:r>
      <w:r w:rsidR="00952B97" w:rsidRPr="00477CFC">
        <w:rPr>
          <w:rFonts w:ascii="Arial" w:hAnsi="Arial" w:cs="Arial"/>
        </w:rPr>
        <w:t xml:space="preserve"> </w:t>
      </w:r>
      <w:r w:rsidR="00925E21" w:rsidRPr="00477CFC">
        <w:rPr>
          <w:rFonts w:ascii="Arial" w:hAnsi="Arial" w:cs="Arial"/>
        </w:rPr>
        <w:t xml:space="preserve">By </w:t>
      </w:r>
      <w:r w:rsidR="00985749" w:rsidRPr="00477CFC">
        <w:rPr>
          <w:rFonts w:ascii="Arial" w:hAnsi="Arial" w:cs="Arial"/>
        </w:rPr>
        <w:t>2000, about 87</w:t>
      </w:r>
      <w:r w:rsidR="003D7999" w:rsidRPr="00477CFC">
        <w:rPr>
          <w:rFonts w:ascii="Arial" w:hAnsi="Arial" w:cs="Arial"/>
        </w:rPr>
        <w:t xml:space="preserve"> percent of private contributions </w:t>
      </w:r>
      <w:r w:rsidR="00925E21" w:rsidRPr="00477CFC">
        <w:rPr>
          <w:rFonts w:ascii="Arial" w:hAnsi="Arial" w:cs="Arial"/>
        </w:rPr>
        <w:t>were</w:t>
      </w:r>
      <w:r w:rsidR="003D7999" w:rsidRPr="00477CFC">
        <w:rPr>
          <w:rFonts w:ascii="Arial" w:hAnsi="Arial" w:cs="Arial"/>
        </w:rPr>
        <w:t xml:space="preserve"> to plans in which individuals decide how much to contribute to the plan, how to invest plan assets, and how and when to withdraw money from the plan.</w:t>
      </w:r>
      <w:r w:rsidR="00422179" w:rsidRPr="00477CFC">
        <w:rPr>
          <w:rFonts w:ascii="Arial" w:hAnsi="Arial" w:cs="Arial"/>
        </w:rPr>
        <w:t xml:space="preserve">  </w:t>
      </w:r>
      <w:r w:rsidR="004B0480" w:rsidRPr="00477CFC">
        <w:rPr>
          <w:rFonts w:ascii="Arial" w:hAnsi="Arial" w:cs="Arial"/>
        </w:rPr>
        <w:t xml:space="preserve">Following the </w:t>
      </w:r>
      <w:r w:rsidR="00E83516" w:rsidRPr="00477CFC">
        <w:rPr>
          <w:rFonts w:ascii="Arial" w:hAnsi="Arial" w:cs="Arial"/>
        </w:rPr>
        <w:t xml:space="preserve">2000 </w:t>
      </w:r>
      <w:r w:rsidR="004B0480" w:rsidRPr="00477CFC">
        <w:rPr>
          <w:rFonts w:ascii="Arial" w:hAnsi="Arial" w:cs="Arial"/>
        </w:rPr>
        <w:t xml:space="preserve">stock market </w:t>
      </w:r>
      <w:r w:rsidR="00E83516" w:rsidRPr="00477CFC">
        <w:rPr>
          <w:rFonts w:ascii="Arial" w:hAnsi="Arial" w:cs="Arial"/>
        </w:rPr>
        <w:t xml:space="preserve">decline, this </w:t>
      </w:r>
      <w:r w:rsidR="004B0480" w:rsidRPr="00477CFC">
        <w:rPr>
          <w:rFonts w:ascii="Arial" w:hAnsi="Arial" w:cs="Arial"/>
        </w:rPr>
        <w:t>proportion</w:t>
      </w:r>
      <w:r w:rsidR="00E83516" w:rsidRPr="00477CFC">
        <w:rPr>
          <w:rFonts w:ascii="Arial" w:hAnsi="Arial" w:cs="Arial"/>
        </w:rPr>
        <w:t xml:space="preserve"> declined somewhat as </w:t>
      </w:r>
      <w:r w:rsidR="004B0480" w:rsidRPr="00477CFC">
        <w:rPr>
          <w:rFonts w:ascii="Arial" w:hAnsi="Arial" w:cs="Arial"/>
        </w:rPr>
        <w:t xml:space="preserve">employers </w:t>
      </w:r>
      <w:r w:rsidR="00E83516" w:rsidRPr="00477CFC">
        <w:rPr>
          <w:rFonts w:ascii="Arial" w:hAnsi="Arial" w:cs="Arial"/>
        </w:rPr>
        <w:t xml:space="preserve">made </w:t>
      </w:r>
      <w:r w:rsidR="004B0480" w:rsidRPr="00477CFC">
        <w:rPr>
          <w:rFonts w:ascii="Arial" w:hAnsi="Arial" w:cs="Arial"/>
        </w:rPr>
        <w:t>"catch-up" contributions to under</w:t>
      </w:r>
      <w:r w:rsidR="00E83516" w:rsidRPr="00477CFC">
        <w:rPr>
          <w:rFonts w:ascii="Arial" w:hAnsi="Arial" w:cs="Arial"/>
        </w:rPr>
        <w:t>-</w:t>
      </w:r>
      <w:r w:rsidR="004B0480" w:rsidRPr="00477CFC">
        <w:rPr>
          <w:rFonts w:ascii="Arial" w:hAnsi="Arial" w:cs="Arial"/>
        </w:rPr>
        <w:t>funded DB plans.</w:t>
      </w:r>
    </w:p>
    <w:p w:rsidR="00B223DB" w:rsidRPr="00477CFC" w:rsidRDefault="00B223DB"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B223DB" w:rsidRPr="00477CFC" w:rsidRDefault="00422179"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B223DB" w:rsidRPr="00477CFC">
        <w:rPr>
          <w:rFonts w:ascii="Arial" w:hAnsi="Arial" w:cs="Arial"/>
        </w:rPr>
        <w:t xml:space="preserve">In this paper we consider how the change in the way people save for retirement will affect the well-being of future retires.  We </w:t>
      </w:r>
      <w:r w:rsidR="00985749" w:rsidRPr="00477CFC">
        <w:rPr>
          <w:rFonts w:ascii="Arial" w:hAnsi="Arial" w:cs="Arial"/>
        </w:rPr>
        <w:t>project the future growth of asset</w:t>
      </w:r>
      <w:r w:rsidR="00CB4038" w:rsidRPr="00477CFC">
        <w:rPr>
          <w:rFonts w:ascii="Arial" w:hAnsi="Arial" w:cs="Arial"/>
        </w:rPr>
        <w:t xml:space="preserve">s </w:t>
      </w:r>
      <w:r w:rsidRPr="00477CFC">
        <w:rPr>
          <w:rFonts w:ascii="Arial" w:hAnsi="Arial" w:cs="Arial"/>
        </w:rPr>
        <w:t>in self-directed personal retirement plan</w:t>
      </w:r>
      <w:r w:rsidR="00B223DB" w:rsidRPr="00477CFC">
        <w:rPr>
          <w:rFonts w:ascii="Arial" w:hAnsi="Arial" w:cs="Arial"/>
        </w:rPr>
        <w:t>s</w:t>
      </w:r>
      <w:r w:rsidRPr="00477CFC">
        <w:rPr>
          <w:rFonts w:ascii="Arial" w:hAnsi="Arial" w:cs="Arial"/>
        </w:rPr>
        <w:t>.  The most important of the large number of personal retirement plans is the 401(k).  We consider not only 401(k) plans</w:t>
      </w:r>
      <w:r w:rsidR="00B223DB" w:rsidRPr="00477CFC">
        <w:rPr>
          <w:rFonts w:ascii="Arial" w:hAnsi="Arial" w:cs="Arial"/>
        </w:rPr>
        <w:t xml:space="preserve"> </w:t>
      </w:r>
      <w:r w:rsidR="00B223DB" w:rsidRPr="00477CFC">
        <w:rPr>
          <w:rFonts w:ascii="Arial" w:hAnsi="Arial" w:cs="Arial"/>
          <w:i/>
        </w:rPr>
        <w:t>per se</w:t>
      </w:r>
      <w:r w:rsidR="00B223DB" w:rsidRPr="00477CFC">
        <w:rPr>
          <w:rFonts w:ascii="Arial" w:hAnsi="Arial" w:cs="Arial"/>
        </w:rPr>
        <w:t xml:space="preserve"> </w:t>
      </w:r>
      <w:r w:rsidRPr="00477CFC">
        <w:rPr>
          <w:rFonts w:ascii="Arial" w:hAnsi="Arial" w:cs="Arial"/>
        </w:rPr>
        <w:t xml:space="preserve">but </w:t>
      </w:r>
      <w:r w:rsidR="005E38B7" w:rsidRPr="00477CFC">
        <w:rPr>
          <w:rFonts w:ascii="Arial" w:hAnsi="Arial" w:cs="Arial"/>
        </w:rPr>
        <w:t>403(b), section 457, and related tax-deferred retirement saving plans,</w:t>
      </w:r>
      <w:r w:rsidR="00B223DB" w:rsidRPr="00477CFC">
        <w:rPr>
          <w:rFonts w:ascii="Arial" w:hAnsi="Arial" w:cs="Arial"/>
        </w:rPr>
        <w:t xml:space="preserve"> as well as traditional defined contribution plans.  We refer to</w:t>
      </w:r>
      <w:r w:rsidR="005E38B7" w:rsidRPr="00477CFC">
        <w:rPr>
          <w:rFonts w:ascii="Arial" w:hAnsi="Arial" w:cs="Arial"/>
        </w:rPr>
        <w:t xml:space="preserve"> all of these plans collectively as "401(k)" </w:t>
      </w:r>
      <w:r w:rsidR="00B223DB" w:rsidRPr="00477CFC">
        <w:rPr>
          <w:rFonts w:ascii="Arial" w:hAnsi="Arial" w:cs="Arial"/>
        </w:rPr>
        <w:t xml:space="preserve">or as “401(k)-type” </w:t>
      </w:r>
      <w:r w:rsidR="005E38B7" w:rsidRPr="00477CFC">
        <w:rPr>
          <w:rFonts w:ascii="Arial" w:hAnsi="Arial" w:cs="Arial"/>
        </w:rPr>
        <w:t>plans</w:t>
      </w:r>
      <w:r w:rsidR="00B223DB" w:rsidRPr="00477CFC">
        <w:rPr>
          <w:rFonts w:ascii="Arial" w:hAnsi="Arial" w:cs="Arial"/>
        </w:rPr>
        <w:t>.</w:t>
      </w:r>
      <w:r w:rsidR="00C87FC8" w:rsidRPr="00477CFC">
        <w:rPr>
          <w:rFonts w:ascii="Arial" w:hAnsi="Arial" w:cs="Arial"/>
        </w:rPr>
        <w:t xml:space="preserve">  In a companion paper</w:t>
      </w:r>
      <w:r w:rsidR="004B0480" w:rsidRPr="00477CFC">
        <w:rPr>
          <w:rFonts w:ascii="Arial" w:hAnsi="Arial" w:cs="Arial"/>
        </w:rPr>
        <w:t>, Poterba, Venti and Wise (2007a),</w:t>
      </w:r>
      <w:r w:rsidR="00C87FC8" w:rsidRPr="00477CFC">
        <w:rPr>
          <w:rFonts w:ascii="Arial" w:hAnsi="Arial" w:cs="Arial"/>
        </w:rPr>
        <w:t xml:space="preserve"> we </w:t>
      </w:r>
      <w:r w:rsidR="004B0480" w:rsidRPr="00477CFC">
        <w:rPr>
          <w:rFonts w:ascii="Arial" w:hAnsi="Arial" w:cs="Arial"/>
        </w:rPr>
        <w:t xml:space="preserve">consider the future </w:t>
      </w:r>
      <w:r w:rsidR="00E83516" w:rsidRPr="00477CFC">
        <w:rPr>
          <w:rFonts w:ascii="Arial" w:hAnsi="Arial" w:cs="Arial"/>
        </w:rPr>
        <w:t xml:space="preserve">decline </w:t>
      </w:r>
      <w:r w:rsidR="004B0480" w:rsidRPr="00477CFC">
        <w:rPr>
          <w:rFonts w:ascii="Arial" w:hAnsi="Arial" w:cs="Arial"/>
        </w:rPr>
        <w:t xml:space="preserve">of assets in </w:t>
      </w:r>
      <w:r w:rsidR="00E83516" w:rsidRPr="00477CFC">
        <w:rPr>
          <w:rFonts w:ascii="Arial" w:hAnsi="Arial" w:cs="Arial"/>
        </w:rPr>
        <w:t>defined benefit</w:t>
      </w:r>
      <w:r w:rsidR="004B0480" w:rsidRPr="00477CFC">
        <w:rPr>
          <w:rFonts w:ascii="Arial" w:hAnsi="Arial" w:cs="Arial"/>
        </w:rPr>
        <w:t xml:space="preserve"> plans</w:t>
      </w:r>
      <w:r w:rsidR="00E83516" w:rsidRPr="00477CFC">
        <w:rPr>
          <w:rFonts w:ascii="Arial" w:hAnsi="Arial" w:cs="Arial"/>
        </w:rPr>
        <w:t>.</w:t>
      </w:r>
    </w:p>
    <w:p w:rsidR="00E83516" w:rsidRPr="00477CFC" w:rsidRDefault="00E83516" w:rsidP="00AE6D70">
      <w:pPr>
        <w:tabs>
          <w:tab w:val="left" w:pos="-180"/>
          <w:tab w:val="left" w:pos="720"/>
          <w:tab w:val="left" w:pos="1080"/>
          <w:tab w:val="left" w:pos="1440"/>
          <w:tab w:val="left" w:pos="1800"/>
          <w:tab w:val="left" w:pos="2160"/>
          <w:tab w:val="left" w:pos="2520"/>
          <w:tab w:val="left" w:pos="2880"/>
        </w:tabs>
        <w:rPr>
          <w:rFonts w:ascii="Arial" w:hAnsi="Arial" w:cs="Arial"/>
          <w:strike/>
        </w:rPr>
      </w:pPr>
    </w:p>
    <w:p w:rsidR="00C87FC8" w:rsidRPr="00477CFC" w:rsidRDefault="000B2347" w:rsidP="00AE6D70">
      <w:pPr>
        <w:ind w:firstLine="720"/>
        <w:rPr>
          <w:rFonts w:ascii="Arial" w:hAnsi="Arial" w:cs="Arial"/>
        </w:rPr>
      </w:pPr>
      <w:r w:rsidRPr="00477CFC">
        <w:rPr>
          <w:rFonts w:ascii="Arial" w:hAnsi="Arial" w:cs="Arial"/>
        </w:rPr>
        <w:t>Our analysis is based on cohort data on individual 401(k) participation rates.  We use these data as a foundation from which to project</w:t>
      </w:r>
      <w:r w:rsidR="00901585" w:rsidRPr="00477CFC">
        <w:rPr>
          <w:rFonts w:ascii="Arial" w:hAnsi="Arial" w:cs="Arial"/>
        </w:rPr>
        <w:t xml:space="preserve"> </w:t>
      </w:r>
      <w:r w:rsidR="00E83516" w:rsidRPr="00477CFC">
        <w:rPr>
          <w:rFonts w:ascii="Arial" w:hAnsi="Arial" w:cs="Arial"/>
        </w:rPr>
        <w:t xml:space="preserve">401(k) </w:t>
      </w:r>
      <w:r w:rsidR="00901585" w:rsidRPr="00477CFC">
        <w:rPr>
          <w:rFonts w:ascii="Arial" w:hAnsi="Arial" w:cs="Arial"/>
        </w:rPr>
        <w:t xml:space="preserve">participation rates and </w:t>
      </w:r>
      <w:r w:rsidR="00E83516" w:rsidRPr="00477CFC">
        <w:rPr>
          <w:rFonts w:ascii="Arial" w:hAnsi="Arial" w:cs="Arial"/>
        </w:rPr>
        <w:t>asset</w:t>
      </w:r>
      <w:r w:rsidR="00901585" w:rsidRPr="00477CFC">
        <w:rPr>
          <w:rFonts w:ascii="Arial" w:hAnsi="Arial" w:cs="Arial"/>
        </w:rPr>
        <w:t xml:space="preserve"> accumulation in the future.  These projections are combined with the </w:t>
      </w:r>
      <w:r w:rsidR="009132C4" w:rsidRPr="00477CFC">
        <w:rPr>
          <w:rFonts w:ascii="Arial" w:hAnsi="Arial" w:cs="Arial"/>
        </w:rPr>
        <w:t>Social Security Administration</w:t>
      </w:r>
      <w:r w:rsidR="00901585" w:rsidRPr="00477CFC">
        <w:rPr>
          <w:rFonts w:ascii="Arial" w:hAnsi="Arial" w:cs="Arial"/>
        </w:rPr>
        <w:t xml:space="preserve">'s demographic forecasts to </w:t>
      </w:r>
      <w:r w:rsidR="00E83516" w:rsidRPr="00477CFC">
        <w:rPr>
          <w:rFonts w:ascii="Arial" w:hAnsi="Arial" w:cs="Arial"/>
        </w:rPr>
        <w:t xml:space="preserve">project </w:t>
      </w:r>
      <w:r w:rsidR="00431D52" w:rsidRPr="00477CFC">
        <w:rPr>
          <w:rFonts w:ascii="Arial" w:hAnsi="Arial" w:cs="Arial"/>
        </w:rPr>
        <w:t xml:space="preserve">the stock of </w:t>
      </w:r>
      <w:r w:rsidR="00E83516" w:rsidRPr="00477CFC">
        <w:rPr>
          <w:rFonts w:ascii="Arial" w:hAnsi="Arial" w:cs="Arial"/>
        </w:rPr>
        <w:t xml:space="preserve">401(k) </w:t>
      </w:r>
      <w:r w:rsidR="00374631" w:rsidRPr="00477CFC">
        <w:rPr>
          <w:rFonts w:ascii="Arial" w:hAnsi="Arial" w:cs="Arial"/>
        </w:rPr>
        <w:t xml:space="preserve">retirement plan </w:t>
      </w:r>
      <w:r w:rsidR="00431D52" w:rsidRPr="00477CFC">
        <w:rPr>
          <w:rFonts w:ascii="Arial" w:hAnsi="Arial" w:cs="Arial"/>
        </w:rPr>
        <w:t xml:space="preserve">assets </w:t>
      </w:r>
      <w:r w:rsidR="00374631" w:rsidRPr="00477CFC">
        <w:rPr>
          <w:rFonts w:ascii="Arial" w:hAnsi="Arial" w:cs="Arial"/>
        </w:rPr>
        <w:t>in</w:t>
      </w:r>
      <w:r w:rsidR="00901585" w:rsidRPr="00477CFC">
        <w:rPr>
          <w:rFonts w:ascii="Arial" w:hAnsi="Arial" w:cs="Arial"/>
        </w:rPr>
        <w:t xml:space="preserve"> each year </w:t>
      </w:r>
      <w:r w:rsidR="00431D52" w:rsidRPr="00477CFC">
        <w:rPr>
          <w:rFonts w:ascii="Arial" w:hAnsi="Arial" w:cs="Arial"/>
        </w:rPr>
        <w:t>between 200</w:t>
      </w:r>
      <w:r w:rsidR="00D16F9C" w:rsidRPr="00477CFC">
        <w:rPr>
          <w:rFonts w:ascii="Arial" w:hAnsi="Arial" w:cs="Arial"/>
        </w:rPr>
        <w:t>6</w:t>
      </w:r>
      <w:r w:rsidR="00431D52" w:rsidRPr="00477CFC">
        <w:rPr>
          <w:rFonts w:ascii="Arial" w:hAnsi="Arial" w:cs="Arial"/>
        </w:rPr>
        <w:t xml:space="preserve"> and 2040</w:t>
      </w:r>
      <w:r w:rsidR="00374631" w:rsidRPr="00477CFC">
        <w:rPr>
          <w:rFonts w:ascii="Arial" w:hAnsi="Arial" w:cs="Arial"/>
        </w:rPr>
        <w:t xml:space="preserve">.  And we project the accumulated 401(k) assets at age 65 for all cohorts attaining age 65 </w:t>
      </w:r>
      <w:r w:rsidR="00431D52" w:rsidRPr="00477CFC">
        <w:rPr>
          <w:rFonts w:ascii="Arial" w:hAnsi="Arial" w:cs="Arial"/>
        </w:rPr>
        <w:t>between 200</w:t>
      </w:r>
      <w:r w:rsidR="00D16F9C" w:rsidRPr="00477CFC">
        <w:rPr>
          <w:rFonts w:ascii="Arial" w:hAnsi="Arial" w:cs="Arial"/>
        </w:rPr>
        <w:t>6</w:t>
      </w:r>
      <w:r w:rsidR="00431D52" w:rsidRPr="00477CFC">
        <w:rPr>
          <w:rFonts w:ascii="Arial" w:hAnsi="Arial" w:cs="Arial"/>
        </w:rPr>
        <w:t xml:space="preserve"> and 2040</w:t>
      </w:r>
    </w:p>
    <w:p w:rsidR="00374631" w:rsidRPr="00477CFC" w:rsidRDefault="00374631" w:rsidP="00AE6D70">
      <w:pPr>
        <w:ind w:firstLine="720"/>
        <w:rPr>
          <w:rFonts w:ascii="Arial" w:hAnsi="Arial" w:cs="Arial"/>
        </w:rPr>
      </w:pPr>
    </w:p>
    <w:p w:rsidR="00144C21" w:rsidRPr="00477CFC" w:rsidRDefault="00431D52" w:rsidP="00AE6D70">
      <w:pPr>
        <w:ind w:firstLine="720"/>
        <w:rPr>
          <w:rFonts w:ascii="Arial" w:hAnsi="Arial" w:cs="Arial"/>
        </w:rPr>
      </w:pPr>
      <w:r w:rsidRPr="00477CFC">
        <w:rPr>
          <w:rFonts w:ascii="Arial" w:hAnsi="Arial" w:cs="Arial"/>
        </w:rPr>
        <w:t xml:space="preserve">Other studies have also based projections on individual data.  </w:t>
      </w:r>
      <w:r w:rsidR="000B2347" w:rsidRPr="00477CFC">
        <w:rPr>
          <w:rFonts w:ascii="Arial" w:hAnsi="Arial" w:cs="Arial"/>
        </w:rPr>
        <w:t xml:space="preserve">Holden and VanDerhei (2002a, 2002b) project the evolution of the proportion of pre-retirement income that will be replaced by 401(k) asset accumulations.  The studies simulate 401(k) assets by projecting the future accumulation of assets held in 2000.  </w:t>
      </w:r>
      <w:r w:rsidR="00144C21" w:rsidRPr="00477CFC">
        <w:rPr>
          <w:rFonts w:ascii="Arial" w:hAnsi="Arial" w:cs="Arial"/>
        </w:rPr>
        <w:t>Because their sample consists only of plan participants, their projections do not consider the future increase in 401(k) participation rates and do not consid</w:t>
      </w:r>
      <w:r w:rsidR="00CB4038" w:rsidRPr="00477CFC">
        <w:rPr>
          <w:rFonts w:ascii="Arial" w:hAnsi="Arial" w:cs="Arial"/>
        </w:rPr>
        <w:t xml:space="preserve">er future demographic trends.  </w:t>
      </w:r>
      <w:r w:rsidR="000B2347" w:rsidRPr="00477CFC">
        <w:rPr>
          <w:rFonts w:ascii="Arial" w:hAnsi="Arial" w:cs="Arial"/>
        </w:rPr>
        <w:t xml:space="preserve">Two studies by the Congressional Budget Office (2004a, 2004b) develop a framework to project asset flows into and out of </w:t>
      </w:r>
      <w:r w:rsidR="00144C21" w:rsidRPr="00477CFC">
        <w:rPr>
          <w:rFonts w:ascii="Arial" w:hAnsi="Arial" w:cs="Arial"/>
        </w:rPr>
        <w:t>defined benefit (</w:t>
      </w:r>
      <w:r w:rsidR="000B2347" w:rsidRPr="00477CFC">
        <w:rPr>
          <w:rFonts w:ascii="Arial" w:hAnsi="Arial" w:cs="Arial"/>
        </w:rPr>
        <w:t>DB</w:t>
      </w:r>
      <w:r w:rsidR="00144C21" w:rsidRPr="00477CFC">
        <w:rPr>
          <w:rFonts w:ascii="Arial" w:hAnsi="Arial" w:cs="Arial"/>
        </w:rPr>
        <w:t>)</w:t>
      </w:r>
      <w:r w:rsidR="000B2347" w:rsidRPr="00477CFC">
        <w:rPr>
          <w:rFonts w:ascii="Arial" w:hAnsi="Arial" w:cs="Arial"/>
        </w:rPr>
        <w:t xml:space="preserve">, </w:t>
      </w:r>
      <w:r w:rsidR="00144C21" w:rsidRPr="00477CFC">
        <w:rPr>
          <w:rFonts w:ascii="Arial" w:hAnsi="Arial" w:cs="Arial"/>
        </w:rPr>
        <w:t>defined contribution (</w:t>
      </w:r>
      <w:r w:rsidR="000B2347" w:rsidRPr="00477CFC">
        <w:rPr>
          <w:rFonts w:ascii="Arial" w:hAnsi="Arial" w:cs="Arial"/>
        </w:rPr>
        <w:t>DC</w:t>
      </w:r>
      <w:r w:rsidR="00144C21" w:rsidRPr="00477CFC">
        <w:rPr>
          <w:rFonts w:ascii="Arial" w:hAnsi="Arial" w:cs="Arial"/>
        </w:rPr>
        <w:t>)</w:t>
      </w:r>
      <w:r w:rsidR="000B2347" w:rsidRPr="00477CFC">
        <w:rPr>
          <w:rFonts w:ascii="Arial" w:hAnsi="Arial" w:cs="Arial"/>
        </w:rPr>
        <w:t>, and IRA plans.  The</w:t>
      </w:r>
      <w:r w:rsidR="00144C21" w:rsidRPr="00477CFC">
        <w:rPr>
          <w:rFonts w:ascii="Arial" w:hAnsi="Arial" w:cs="Arial"/>
        </w:rPr>
        <w:t>se</w:t>
      </w:r>
      <w:r w:rsidR="00CB4038" w:rsidRPr="00477CFC">
        <w:rPr>
          <w:rFonts w:ascii="Arial" w:hAnsi="Arial" w:cs="Arial"/>
        </w:rPr>
        <w:t xml:space="preserve"> analyse</w:t>
      </w:r>
      <w:r w:rsidR="000B2347" w:rsidRPr="00477CFC">
        <w:rPr>
          <w:rFonts w:ascii="Arial" w:hAnsi="Arial" w:cs="Arial"/>
        </w:rPr>
        <w:t xml:space="preserve">s </w:t>
      </w:r>
      <w:r w:rsidR="00144C21" w:rsidRPr="00477CFC">
        <w:rPr>
          <w:rFonts w:ascii="Arial" w:hAnsi="Arial" w:cs="Arial"/>
        </w:rPr>
        <w:t xml:space="preserve">are </w:t>
      </w:r>
      <w:r w:rsidR="000B2347" w:rsidRPr="00477CFC">
        <w:rPr>
          <w:rFonts w:ascii="Arial" w:hAnsi="Arial" w:cs="Arial"/>
        </w:rPr>
        <w:t>based primarily on the 1997 Information Returns Master file from the IRS, supplemented with data from the Survey of Consumer Finances, Form 5500 data, and other sources.  The studies project DC balances by assuming that future participation and contribution rates will equal the age-specific rates observed in 1997.</w:t>
      </w:r>
      <w:r w:rsidR="00144C21" w:rsidRPr="00477CFC">
        <w:rPr>
          <w:rFonts w:ascii="Arial" w:hAnsi="Arial" w:cs="Arial"/>
        </w:rPr>
        <w:t xml:space="preserve">   </w:t>
      </w:r>
      <w:r w:rsidR="000B2347" w:rsidRPr="00477CFC">
        <w:rPr>
          <w:rFonts w:ascii="Arial" w:hAnsi="Arial" w:cs="Arial"/>
        </w:rPr>
        <w:t>These studies</w:t>
      </w:r>
      <w:r w:rsidR="00144C21" w:rsidRPr="00477CFC">
        <w:rPr>
          <w:rFonts w:ascii="Arial" w:hAnsi="Arial" w:cs="Arial"/>
        </w:rPr>
        <w:t xml:space="preserve"> also do not consider the </w:t>
      </w:r>
      <w:r w:rsidR="000B2347" w:rsidRPr="00477CFC">
        <w:rPr>
          <w:rFonts w:ascii="Arial" w:hAnsi="Arial" w:cs="Arial"/>
        </w:rPr>
        <w:t xml:space="preserve">future spread of </w:t>
      </w:r>
      <w:r w:rsidR="000B2347" w:rsidRPr="00477CFC">
        <w:rPr>
          <w:rFonts w:ascii="Arial" w:hAnsi="Arial" w:cs="Arial"/>
        </w:rPr>
        <w:lastRenderedPageBreak/>
        <w:t>401(k) plans</w:t>
      </w:r>
      <w:r w:rsidR="00144C21" w:rsidRPr="00477CFC">
        <w:rPr>
          <w:rFonts w:ascii="Arial" w:hAnsi="Arial" w:cs="Arial"/>
        </w:rPr>
        <w:t xml:space="preserve"> or the effects of demographic trends on the accumulation in personal retirement plans.</w:t>
      </w:r>
      <w:r w:rsidR="000B2347" w:rsidRPr="00477CFC">
        <w:rPr>
          <w:rFonts w:ascii="Arial" w:hAnsi="Arial" w:cs="Arial"/>
        </w:rPr>
        <w:t xml:space="preserve"> </w:t>
      </w:r>
      <w:r w:rsidR="00144C21" w:rsidRPr="00477CFC">
        <w:rPr>
          <w:rFonts w:ascii="Arial" w:hAnsi="Arial" w:cs="Arial"/>
        </w:rPr>
        <w:t xml:space="preserve"> </w:t>
      </w:r>
    </w:p>
    <w:p w:rsidR="00C87FC8" w:rsidRPr="00477CFC" w:rsidRDefault="00C87FC8" w:rsidP="00AE6D70">
      <w:pPr>
        <w:ind w:firstLine="720"/>
        <w:rPr>
          <w:rFonts w:ascii="Arial" w:hAnsi="Arial" w:cs="Arial"/>
        </w:rPr>
      </w:pPr>
    </w:p>
    <w:p w:rsidR="00507FF8" w:rsidRPr="00477CFC" w:rsidRDefault="00422179"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985749" w:rsidRPr="00477CFC">
        <w:rPr>
          <w:rFonts w:ascii="Arial" w:hAnsi="Arial" w:cs="Arial"/>
        </w:rPr>
        <w:t>The</w:t>
      </w:r>
      <w:r w:rsidR="00CB4038" w:rsidRPr="00477CFC">
        <w:rPr>
          <w:rFonts w:ascii="Arial" w:hAnsi="Arial" w:cs="Arial"/>
        </w:rPr>
        <w:t xml:space="preserve"> paper is organized into </w:t>
      </w:r>
      <w:r w:rsidR="00C17578" w:rsidRPr="00477CFC">
        <w:rPr>
          <w:rFonts w:ascii="Arial" w:hAnsi="Arial" w:cs="Arial"/>
        </w:rPr>
        <w:t>five</w:t>
      </w:r>
      <w:r w:rsidR="00CB4038" w:rsidRPr="00477CFC">
        <w:rPr>
          <w:rFonts w:ascii="Arial" w:hAnsi="Arial" w:cs="Arial"/>
        </w:rPr>
        <w:t xml:space="preserve"> </w:t>
      </w:r>
      <w:r w:rsidR="00367EEE" w:rsidRPr="00477CFC">
        <w:rPr>
          <w:rFonts w:ascii="Arial" w:hAnsi="Arial" w:cs="Arial"/>
        </w:rPr>
        <w:t xml:space="preserve">sections.  </w:t>
      </w:r>
      <w:r w:rsidRPr="00477CFC">
        <w:rPr>
          <w:rFonts w:ascii="Arial" w:hAnsi="Arial" w:cs="Arial"/>
        </w:rPr>
        <w:t xml:space="preserve">In the first </w:t>
      </w:r>
      <w:r w:rsidR="00367EEE" w:rsidRPr="00477CFC">
        <w:rPr>
          <w:rFonts w:ascii="Arial" w:hAnsi="Arial" w:cs="Arial"/>
        </w:rPr>
        <w:t>section</w:t>
      </w:r>
      <w:r w:rsidRPr="00477CFC">
        <w:rPr>
          <w:rFonts w:ascii="Arial" w:hAnsi="Arial" w:cs="Arial"/>
        </w:rPr>
        <w:t xml:space="preserve">, we </w:t>
      </w:r>
      <w:r w:rsidR="00367EEE" w:rsidRPr="00477CFC">
        <w:rPr>
          <w:rFonts w:ascii="Arial" w:hAnsi="Arial" w:cs="Arial"/>
        </w:rPr>
        <w:t xml:space="preserve">describe the spread of 401(k) saving </w:t>
      </w:r>
      <w:r w:rsidR="00FC5E02" w:rsidRPr="00477CFC">
        <w:rPr>
          <w:rFonts w:ascii="Arial" w:hAnsi="Arial" w:cs="Arial"/>
        </w:rPr>
        <w:t xml:space="preserve">programs since these saving plans first became widely available in the early 1980s.  </w:t>
      </w:r>
      <w:r w:rsidR="00837757" w:rsidRPr="00477CFC">
        <w:rPr>
          <w:rFonts w:ascii="Arial" w:hAnsi="Arial" w:cs="Arial"/>
        </w:rPr>
        <w:t xml:space="preserve"> In the second section, we explain how we project </w:t>
      </w:r>
      <w:r w:rsidR="00FC5E02" w:rsidRPr="00477CFC">
        <w:rPr>
          <w:rFonts w:ascii="Arial" w:hAnsi="Arial" w:cs="Arial"/>
        </w:rPr>
        <w:t>the level of future</w:t>
      </w:r>
      <w:r w:rsidR="00837757" w:rsidRPr="00477CFC">
        <w:rPr>
          <w:rFonts w:ascii="Arial" w:hAnsi="Arial" w:cs="Arial"/>
        </w:rPr>
        <w:t xml:space="preserve"> assets in</w:t>
      </w:r>
      <w:r w:rsidR="00FC5E02" w:rsidRPr="00477CFC">
        <w:rPr>
          <w:rFonts w:ascii="Arial" w:hAnsi="Arial" w:cs="Arial"/>
        </w:rPr>
        <w:t xml:space="preserve"> </w:t>
      </w:r>
      <w:r w:rsidR="00367EEE" w:rsidRPr="00477CFC">
        <w:rPr>
          <w:rFonts w:ascii="Arial" w:hAnsi="Arial" w:cs="Arial"/>
        </w:rPr>
        <w:t xml:space="preserve">401(k) </w:t>
      </w:r>
      <w:r w:rsidR="00F47E92" w:rsidRPr="00477CFC">
        <w:rPr>
          <w:rFonts w:ascii="Arial" w:hAnsi="Arial" w:cs="Arial"/>
        </w:rPr>
        <w:t>plan</w:t>
      </w:r>
      <w:r w:rsidR="00837757" w:rsidRPr="00477CFC">
        <w:rPr>
          <w:rFonts w:ascii="Arial" w:hAnsi="Arial" w:cs="Arial"/>
        </w:rPr>
        <w:t>s</w:t>
      </w:r>
      <w:r w:rsidR="00F47E92" w:rsidRPr="00477CFC">
        <w:rPr>
          <w:rFonts w:ascii="Arial" w:hAnsi="Arial" w:cs="Arial"/>
        </w:rPr>
        <w:t>.</w:t>
      </w:r>
      <w:r w:rsidR="00FA534E" w:rsidRPr="00477CFC">
        <w:rPr>
          <w:rFonts w:ascii="Arial" w:hAnsi="Arial" w:cs="Arial"/>
        </w:rPr>
        <w:t xml:space="preserve">  </w:t>
      </w:r>
      <w:r w:rsidR="001122E7" w:rsidRPr="00477CFC">
        <w:rPr>
          <w:rFonts w:ascii="Arial" w:hAnsi="Arial" w:cs="Arial"/>
        </w:rPr>
        <w:t xml:space="preserve">We detail key assumptions about </w:t>
      </w:r>
      <w:r w:rsidR="00F47E92" w:rsidRPr="00477CFC">
        <w:rPr>
          <w:rFonts w:ascii="Arial" w:hAnsi="Arial" w:cs="Arial"/>
        </w:rPr>
        <w:t xml:space="preserve">employment trends, participation rates, </w:t>
      </w:r>
      <w:r w:rsidR="00837757" w:rsidRPr="00477CFC">
        <w:rPr>
          <w:rFonts w:ascii="Arial" w:hAnsi="Arial" w:cs="Arial"/>
        </w:rPr>
        <w:t xml:space="preserve">contribution rates, </w:t>
      </w:r>
      <w:r w:rsidR="00367EEE" w:rsidRPr="00477CFC">
        <w:rPr>
          <w:rFonts w:ascii="Arial" w:hAnsi="Arial" w:cs="Arial"/>
        </w:rPr>
        <w:t>as</w:t>
      </w:r>
      <w:r w:rsidR="00F47E92" w:rsidRPr="00477CFC">
        <w:rPr>
          <w:rFonts w:ascii="Arial" w:hAnsi="Arial" w:cs="Arial"/>
        </w:rPr>
        <w:t xml:space="preserve"> well as withdrawal patterns once 401(k) participants reach retirement.  </w:t>
      </w:r>
      <w:r w:rsidR="001122E7" w:rsidRPr="00477CFC">
        <w:rPr>
          <w:rFonts w:ascii="Arial" w:hAnsi="Arial" w:cs="Arial"/>
        </w:rPr>
        <w:t>In section 3 w</w:t>
      </w:r>
      <w:r w:rsidR="00FC5E02" w:rsidRPr="00477CFC">
        <w:rPr>
          <w:rFonts w:ascii="Arial" w:hAnsi="Arial" w:cs="Arial"/>
        </w:rPr>
        <w:t xml:space="preserve">e </w:t>
      </w:r>
      <w:r w:rsidR="00837757" w:rsidRPr="00477CFC">
        <w:rPr>
          <w:rFonts w:ascii="Arial" w:hAnsi="Arial" w:cs="Arial"/>
        </w:rPr>
        <w:t xml:space="preserve">present </w:t>
      </w:r>
      <w:r w:rsidR="00CB4038" w:rsidRPr="00477CFC">
        <w:rPr>
          <w:rFonts w:ascii="Arial" w:hAnsi="Arial" w:cs="Arial"/>
        </w:rPr>
        <w:t>projections of 401(k) assets at</w:t>
      </w:r>
      <w:r w:rsidR="00837757" w:rsidRPr="00477CFC">
        <w:rPr>
          <w:rFonts w:ascii="Arial" w:hAnsi="Arial" w:cs="Arial"/>
        </w:rPr>
        <w:t xml:space="preserve"> retirement (age 65) for </w:t>
      </w:r>
      <w:r w:rsidR="00CB4038" w:rsidRPr="00477CFC">
        <w:rPr>
          <w:rFonts w:ascii="Arial" w:hAnsi="Arial" w:cs="Arial"/>
        </w:rPr>
        <w:t>each cohort that retires between now and</w:t>
      </w:r>
      <w:r w:rsidR="00837757" w:rsidRPr="00477CFC">
        <w:rPr>
          <w:rFonts w:ascii="Arial" w:hAnsi="Arial" w:cs="Arial"/>
        </w:rPr>
        <w:t xml:space="preserve"> 2040.  In addition we </w:t>
      </w:r>
      <w:r w:rsidR="00CB4038" w:rsidRPr="00477CFC">
        <w:rPr>
          <w:rFonts w:ascii="Arial" w:hAnsi="Arial" w:cs="Arial"/>
        </w:rPr>
        <w:t>project</w:t>
      </w:r>
      <w:r w:rsidR="00837757" w:rsidRPr="00477CFC">
        <w:rPr>
          <w:rFonts w:ascii="Arial" w:hAnsi="Arial" w:cs="Arial"/>
        </w:rPr>
        <w:t xml:space="preserve"> the total value of assets in 401(k) plans by year, through 2040.</w:t>
      </w:r>
      <w:r w:rsidR="000B2347" w:rsidRPr="00477CFC">
        <w:rPr>
          <w:rFonts w:ascii="Arial" w:hAnsi="Arial" w:cs="Arial"/>
        </w:rPr>
        <w:t xml:space="preserve">  We also compare projected assets in 401(k) plans with the declining benefits from DB plans.</w:t>
      </w:r>
      <w:r w:rsidR="00837757" w:rsidRPr="00477CFC">
        <w:rPr>
          <w:rFonts w:ascii="Arial" w:hAnsi="Arial" w:cs="Arial"/>
        </w:rPr>
        <w:t xml:space="preserve">  In section four,</w:t>
      </w:r>
      <w:r w:rsidR="00FA534E" w:rsidRPr="00477CFC">
        <w:rPr>
          <w:rFonts w:ascii="Arial" w:hAnsi="Arial" w:cs="Arial"/>
        </w:rPr>
        <w:t xml:space="preserve"> we </w:t>
      </w:r>
      <w:r w:rsidR="001122E7" w:rsidRPr="00477CFC">
        <w:rPr>
          <w:rFonts w:ascii="Arial" w:hAnsi="Arial" w:cs="Arial"/>
        </w:rPr>
        <w:t>summarize</w:t>
      </w:r>
      <w:r w:rsidR="00837757" w:rsidRPr="00477CFC">
        <w:rPr>
          <w:rFonts w:ascii="Arial" w:hAnsi="Arial" w:cs="Arial"/>
        </w:rPr>
        <w:t xml:space="preserve"> our </w:t>
      </w:r>
      <w:r w:rsidR="001122E7" w:rsidRPr="00477CFC">
        <w:rPr>
          <w:rFonts w:ascii="Arial" w:hAnsi="Arial" w:cs="Arial"/>
        </w:rPr>
        <w:t>results</w:t>
      </w:r>
      <w:r w:rsidR="00837757" w:rsidRPr="00477CFC">
        <w:rPr>
          <w:rFonts w:ascii="Arial" w:hAnsi="Arial" w:cs="Arial"/>
        </w:rPr>
        <w:t xml:space="preserve"> and </w:t>
      </w:r>
      <w:r w:rsidR="00F47E92" w:rsidRPr="00477CFC">
        <w:rPr>
          <w:rFonts w:ascii="Arial" w:hAnsi="Arial" w:cs="Arial"/>
        </w:rPr>
        <w:t>discuss</w:t>
      </w:r>
      <w:r w:rsidR="00837757" w:rsidRPr="00477CFC">
        <w:rPr>
          <w:rFonts w:ascii="Arial" w:hAnsi="Arial" w:cs="Arial"/>
        </w:rPr>
        <w:t xml:space="preserve"> the implications of the findings</w:t>
      </w:r>
      <w:r w:rsidR="00367EEE" w:rsidRPr="00477CFC">
        <w:rPr>
          <w:rFonts w:ascii="Arial" w:hAnsi="Arial" w:cs="Arial"/>
        </w:rPr>
        <w:t>.</w:t>
      </w:r>
    </w:p>
    <w:p w:rsidR="00431D52" w:rsidRPr="00477CFC" w:rsidRDefault="00431D52"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5D275D" w:rsidRPr="00477CFC" w:rsidRDefault="008C541F" w:rsidP="00965EC7">
      <w:pPr>
        <w:numPr>
          <w:ilvl w:val="0"/>
          <w:numId w:val="5"/>
        </w:numPr>
        <w:tabs>
          <w:tab w:val="left" w:pos="-180"/>
          <w:tab w:val="left" w:pos="720"/>
          <w:tab w:val="left" w:pos="1080"/>
          <w:tab w:val="left" w:pos="1440"/>
          <w:tab w:val="left" w:pos="1800"/>
          <w:tab w:val="left" w:pos="2160"/>
          <w:tab w:val="left" w:pos="2520"/>
          <w:tab w:val="left" w:pos="2880"/>
        </w:tabs>
        <w:rPr>
          <w:rFonts w:ascii="Arial" w:hAnsi="Arial" w:cs="Arial"/>
          <w:b/>
        </w:rPr>
      </w:pPr>
      <w:r w:rsidRPr="00477CFC">
        <w:rPr>
          <w:rFonts w:ascii="Arial" w:hAnsi="Arial" w:cs="Arial"/>
          <w:b/>
        </w:rPr>
        <w:t xml:space="preserve">The Spread of 401(k) Plans </w:t>
      </w:r>
      <w:r w:rsidR="00264E0C" w:rsidRPr="00477CFC">
        <w:rPr>
          <w:rFonts w:ascii="Arial" w:hAnsi="Arial" w:cs="Arial"/>
          <w:b/>
        </w:rPr>
        <w:t>B</w:t>
      </w:r>
      <w:r w:rsidRPr="00477CFC">
        <w:rPr>
          <w:rFonts w:ascii="Arial" w:hAnsi="Arial" w:cs="Arial"/>
          <w:b/>
        </w:rPr>
        <w:t>etween 198</w:t>
      </w:r>
      <w:r w:rsidR="002B300C" w:rsidRPr="00477CFC">
        <w:rPr>
          <w:rFonts w:ascii="Arial" w:hAnsi="Arial" w:cs="Arial"/>
          <w:b/>
        </w:rPr>
        <w:t>4</w:t>
      </w:r>
      <w:r w:rsidRPr="00477CFC">
        <w:rPr>
          <w:rFonts w:ascii="Arial" w:hAnsi="Arial" w:cs="Arial"/>
          <w:b/>
        </w:rPr>
        <w:t xml:space="preserve"> and 20</w:t>
      </w:r>
      <w:r w:rsidR="002B300C" w:rsidRPr="00477CFC">
        <w:rPr>
          <w:rFonts w:ascii="Arial" w:hAnsi="Arial" w:cs="Arial"/>
          <w:b/>
        </w:rPr>
        <w:t>03</w:t>
      </w:r>
    </w:p>
    <w:p w:rsidR="00FA534E" w:rsidRPr="00477CFC" w:rsidRDefault="00FA534E" w:rsidP="00AE6D70">
      <w:pPr>
        <w:tabs>
          <w:tab w:val="left" w:pos="-180"/>
          <w:tab w:val="left" w:pos="720"/>
          <w:tab w:val="left" w:pos="1080"/>
          <w:tab w:val="left" w:pos="1440"/>
          <w:tab w:val="left" w:pos="1800"/>
          <w:tab w:val="left" w:pos="2160"/>
          <w:tab w:val="left" w:pos="2520"/>
          <w:tab w:val="left" w:pos="2880"/>
        </w:tabs>
        <w:rPr>
          <w:rFonts w:ascii="Arial" w:hAnsi="Arial" w:cs="Arial"/>
          <w:b/>
        </w:rPr>
      </w:pPr>
    </w:p>
    <w:p w:rsidR="008C541F" w:rsidRPr="00477CFC" w:rsidRDefault="00654797"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We use data from the</w:t>
      </w:r>
      <w:r w:rsidR="00EB5C39" w:rsidRPr="00477CFC">
        <w:rPr>
          <w:rFonts w:ascii="Arial" w:hAnsi="Arial" w:cs="Arial"/>
        </w:rPr>
        <w:t xml:space="preserve"> Survey</w:t>
      </w:r>
      <w:r w:rsidRPr="00477CFC">
        <w:rPr>
          <w:rFonts w:ascii="Arial" w:hAnsi="Arial" w:cs="Arial"/>
        </w:rPr>
        <w:t xml:space="preserve"> of Income and Program Participation (SIPP) to </w:t>
      </w:r>
      <w:r w:rsidR="00B04951" w:rsidRPr="00477CFC">
        <w:rPr>
          <w:rFonts w:ascii="Arial" w:hAnsi="Arial" w:cs="Arial"/>
        </w:rPr>
        <w:t xml:space="preserve">track </w:t>
      </w:r>
      <w:r w:rsidR="00603DC6" w:rsidRPr="00477CFC">
        <w:rPr>
          <w:rFonts w:ascii="Arial" w:hAnsi="Arial" w:cs="Arial"/>
        </w:rPr>
        <w:t xml:space="preserve">the spread of 401(k) plans </w:t>
      </w:r>
      <w:r w:rsidRPr="00477CFC">
        <w:rPr>
          <w:rFonts w:ascii="Arial" w:hAnsi="Arial" w:cs="Arial"/>
        </w:rPr>
        <w:t>over the past two decade</w:t>
      </w:r>
      <w:r w:rsidR="00605123" w:rsidRPr="00477CFC">
        <w:rPr>
          <w:rFonts w:ascii="Arial" w:hAnsi="Arial" w:cs="Arial"/>
        </w:rPr>
        <w:t>s</w:t>
      </w:r>
      <w:r w:rsidR="00B04951" w:rsidRPr="00477CFC">
        <w:rPr>
          <w:rFonts w:ascii="Arial" w:hAnsi="Arial" w:cs="Arial"/>
        </w:rPr>
        <w:t xml:space="preserve"> and to develop </w:t>
      </w:r>
      <w:r w:rsidRPr="00477CFC">
        <w:rPr>
          <w:rFonts w:ascii="Arial" w:hAnsi="Arial" w:cs="Arial"/>
        </w:rPr>
        <w:t>projection</w:t>
      </w:r>
      <w:r w:rsidR="00605123" w:rsidRPr="00477CFC">
        <w:rPr>
          <w:rFonts w:ascii="Arial" w:hAnsi="Arial" w:cs="Arial"/>
        </w:rPr>
        <w:t>s</w:t>
      </w:r>
      <w:r w:rsidRPr="00477CFC">
        <w:rPr>
          <w:rFonts w:ascii="Arial" w:hAnsi="Arial" w:cs="Arial"/>
        </w:rPr>
        <w:t xml:space="preserve"> of future 401(k) assets. </w:t>
      </w:r>
      <w:r w:rsidR="00B04951" w:rsidRPr="00477CFC">
        <w:rPr>
          <w:rFonts w:ascii="Arial" w:hAnsi="Arial" w:cs="Arial"/>
        </w:rPr>
        <w:t xml:space="preserve"> Various </w:t>
      </w:r>
      <w:r w:rsidRPr="00477CFC">
        <w:rPr>
          <w:rFonts w:ascii="Arial" w:hAnsi="Arial" w:cs="Arial"/>
        </w:rPr>
        <w:t xml:space="preserve">SIPP </w:t>
      </w:r>
      <w:r w:rsidR="00603DC6" w:rsidRPr="00477CFC">
        <w:rPr>
          <w:rFonts w:ascii="Arial" w:hAnsi="Arial" w:cs="Arial"/>
        </w:rPr>
        <w:t>survey</w:t>
      </w:r>
      <w:r w:rsidR="00F361CC" w:rsidRPr="00477CFC">
        <w:rPr>
          <w:rFonts w:ascii="Arial" w:hAnsi="Arial" w:cs="Arial"/>
        </w:rPr>
        <w:t>s</w:t>
      </w:r>
      <w:r w:rsidR="00B04951" w:rsidRPr="00477CFC">
        <w:rPr>
          <w:rFonts w:ascii="Arial" w:hAnsi="Arial" w:cs="Arial"/>
        </w:rPr>
        <w:t xml:space="preserve"> </w:t>
      </w:r>
      <w:r w:rsidR="00431D52" w:rsidRPr="00477CFC">
        <w:rPr>
          <w:rFonts w:ascii="Arial" w:hAnsi="Arial" w:cs="Arial"/>
        </w:rPr>
        <w:t>provide</w:t>
      </w:r>
      <w:r w:rsidR="00B04951" w:rsidRPr="00477CFC">
        <w:rPr>
          <w:rFonts w:ascii="Arial" w:hAnsi="Arial" w:cs="Arial"/>
        </w:rPr>
        <w:t xml:space="preserve"> </w:t>
      </w:r>
      <w:r w:rsidR="00603DC6" w:rsidRPr="00477CFC">
        <w:rPr>
          <w:rFonts w:ascii="Arial" w:hAnsi="Arial" w:cs="Arial"/>
        </w:rPr>
        <w:t>data</w:t>
      </w:r>
      <w:r w:rsidR="007A3A7F" w:rsidRPr="00477CFC">
        <w:rPr>
          <w:rFonts w:ascii="Arial" w:hAnsi="Arial" w:cs="Arial"/>
        </w:rPr>
        <w:t xml:space="preserve"> on eligibility for and participation in 401(k) plan</w:t>
      </w:r>
      <w:r w:rsidRPr="00477CFC">
        <w:rPr>
          <w:rFonts w:ascii="Arial" w:hAnsi="Arial" w:cs="Arial"/>
        </w:rPr>
        <w:t>s</w:t>
      </w:r>
      <w:r w:rsidR="00603DC6" w:rsidRPr="00477CFC">
        <w:rPr>
          <w:rFonts w:ascii="Arial" w:hAnsi="Arial" w:cs="Arial"/>
        </w:rPr>
        <w:t xml:space="preserve"> </w:t>
      </w:r>
      <w:r w:rsidR="00B04951" w:rsidRPr="00477CFC">
        <w:rPr>
          <w:rFonts w:ascii="Arial" w:hAnsi="Arial" w:cs="Arial"/>
        </w:rPr>
        <w:t xml:space="preserve">in </w:t>
      </w:r>
      <w:r w:rsidR="00603DC6" w:rsidRPr="00477CFC">
        <w:rPr>
          <w:rFonts w:ascii="Arial" w:hAnsi="Arial" w:cs="Arial"/>
        </w:rPr>
        <w:t>1984, 1987, 1991, 1993, 1995, 1998, and 2003</w:t>
      </w:r>
      <w:r w:rsidR="00F361CC" w:rsidRPr="00477CFC">
        <w:rPr>
          <w:rFonts w:ascii="Arial" w:hAnsi="Arial" w:cs="Arial"/>
        </w:rPr>
        <w:t>.   Each</w:t>
      </w:r>
      <w:r w:rsidRPr="00477CFC">
        <w:rPr>
          <w:rFonts w:ascii="Arial" w:hAnsi="Arial" w:cs="Arial"/>
        </w:rPr>
        <w:t xml:space="preserve"> SIPP </w:t>
      </w:r>
      <w:r w:rsidR="00134A37" w:rsidRPr="00477CFC">
        <w:rPr>
          <w:rFonts w:ascii="Arial" w:hAnsi="Arial" w:cs="Arial"/>
        </w:rPr>
        <w:t xml:space="preserve">survey is a random </w:t>
      </w:r>
      <w:r w:rsidR="00F361CC" w:rsidRPr="00477CFC">
        <w:rPr>
          <w:rFonts w:ascii="Arial" w:hAnsi="Arial" w:cs="Arial"/>
        </w:rPr>
        <w:t>cross-</w:t>
      </w:r>
      <w:r w:rsidRPr="00477CFC">
        <w:rPr>
          <w:rFonts w:ascii="Arial" w:hAnsi="Arial" w:cs="Arial"/>
        </w:rPr>
        <w:t xml:space="preserve">section </w:t>
      </w:r>
      <w:r w:rsidR="00134A37" w:rsidRPr="00477CFC">
        <w:rPr>
          <w:rFonts w:ascii="Arial" w:hAnsi="Arial" w:cs="Arial"/>
        </w:rPr>
        <w:t>sample of the population</w:t>
      </w:r>
      <w:r w:rsidR="00B04951" w:rsidRPr="00477CFC">
        <w:rPr>
          <w:rFonts w:ascii="Arial" w:hAnsi="Arial" w:cs="Arial"/>
        </w:rPr>
        <w:t xml:space="preserve">.  </w:t>
      </w:r>
      <w:r w:rsidR="00605123" w:rsidRPr="00477CFC">
        <w:rPr>
          <w:rFonts w:ascii="Arial" w:hAnsi="Arial" w:cs="Arial"/>
        </w:rPr>
        <w:t xml:space="preserve">The cross-section data </w:t>
      </w:r>
      <w:r w:rsidR="00F361CC" w:rsidRPr="00477CFC">
        <w:rPr>
          <w:rFonts w:ascii="Arial" w:hAnsi="Arial" w:cs="Arial"/>
        </w:rPr>
        <w:t xml:space="preserve">from the SIPP surveys </w:t>
      </w:r>
      <w:r w:rsidR="00605123" w:rsidRPr="00477CFC">
        <w:rPr>
          <w:rFonts w:ascii="Arial" w:hAnsi="Arial" w:cs="Arial"/>
        </w:rPr>
        <w:t>can be used to</w:t>
      </w:r>
      <w:r w:rsidR="00134A37" w:rsidRPr="00477CFC">
        <w:rPr>
          <w:rFonts w:ascii="Arial" w:hAnsi="Arial" w:cs="Arial"/>
        </w:rPr>
        <w:t xml:space="preserve"> create “synthetic” cohorts.  For example, to construct cohort data for </w:t>
      </w:r>
      <w:r w:rsidR="009B38DD" w:rsidRPr="00477CFC">
        <w:rPr>
          <w:rFonts w:ascii="Arial" w:hAnsi="Arial" w:cs="Arial"/>
        </w:rPr>
        <w:t xml:space="preserve">the cohort that was </w:t>
      </w:r>
      <w:r w:rsidR="00134A37" w:rsidRPr="00477CFC">
        <w:rPr>
          <w:rFonts w:ascii="Arial" w:hAnsi="Arial" w:cs="Arial"/>
        </w:rPr>
        <w:t>age 25 in 1984 we use the 1984 panel to obtain data for persons 25</w:t>
      </w:r>
      <w:r w:rsidR="009B38DD" w:rsidRPr="00477CFC">
        <w:rPr>
          <w:rFonts w:ascii="Arial" w:hAnsi="Arial" w:cs="Arial"/>
        </w:rPr>
        <w:t xml:space="preserve"> in that year</w:t>
      </w:r>
      <w:r w:rsidR="00134A37" w:rsidRPr="00477CFC">
        <w:rPr>
          <w:rFonts w:ascii="Arial" w:hAnsi="Arial" w:cs="Arial"/>
        </w:rPr>
        <w:t>, the 1987 panel to obtain data for persons who were 28 in that year, the 1991 panel to obtain data for persons who were 32 in that year, and so forth.</w:t>
      </w:r>
      <w:r w:rsidR="009B38DD" w:rsidRPr="00477CFC">
        <w:rPr>
          <w:rFonts w:ascii="Arial" w:hAnsi="Arial" w:cs="Arial"/>
        </w:rPr>
        <w:t xml:space="preserve">  The cohort that was </w:t>
      </w:r>
      <w:r w:rsidR="00102445" w:rsidRPr="00477CFC">
        <w:rPr>
          <w:rFonts w:ascii="Arial" w:hAnsi="Arial" w:cs="Arial"/>
        </w:rPr>
        <w:t xml:space="preserve">age </w:t>
      </w:r>
      <w:r w:rsidR="009B38DD" w:rsidRPr="00477CFC">
        <w:rPr>
          <w:rFonts w:ascii="Arial" w:hAnsi="Arial" w:cs="Arial"/>
        </w:rPr>
        <w:t xml:space="preserve">25 in 1984 was </w:t>
      </w:r>
      <w:r w:rsidR="00102445" w:rsidRPr="00477CFC">
        <w:rPr>
          <w:rFonts w:ascii="Arial" w:hAnsi="Arial" w:cs="Arial"/>
        </w:rPr>
        <w:t xml:space="preserve">age </w:t>
      </w:r>
      <w:r w:rsidR="009B38DD" w:rsidRPr="00477CFC">
        <w:rPr>
          <w:rFonts w:ascii="Arial" w:hAnsi="Arial" w:cs="Arial"/>
        </w:rPr>
        <w:t xml:space="preserve">44 in 2003.  We sometimes label </w:t>
      </w:r>
      <w:r w:rsidR="00F10DE7" w:rsidRPr="00477CFC">
        <w:rPr>
          <w:rFonts w:ascii="Arial" w:hAnsi="Arial" w:cs="Arial"/>
        </w:rPr>
        <w:t xml:space="preserve">a </w:t>
      </w:r>
      <w:r w:rsidR="009B38DD" w:rsidRPr="00477CFC">
        <w:rPr>
          <w:rFonts w:ascii="Arial" w:hAnsi="Arial" w:cs="Arial"/>
        </w:rPr>
        <w:t xml:space="preserve">cohort by the age of the cohort in 1984 and sometimes by the </w:t>
      </w:r>
      <w:r w:rsidR="00F10DE7" w:rsidRPr="00477CFC">
        <w:rPr>
          <w:rFonts w:ascii="Arial" w:hAnsi="Arial" w:cs="Arial"/>
        </w:rPr>
        <w:t xml:space="preserve">year in </w:t>
      </w:r>
      <w:r w:rsidR="009B38DD" w:rsidRPr="00477CFC">
        <w:rPr>
          <w:rFonts w:ascii="Arial" w:hAnsi="Arial" w:cs="Arial"/>
        </w:rPr>
        <w:t>which the cohort attains age 65.</w:t>
      </w:r>
      <w:r w:rsidR="00605123" w:rsidRPr="00477CFC">
        <w:rPr>
          <w:rFonts w:ascii="Arial" w:hAnsi="Arial" w:cs="Arial"/>
        </w:rPr>
        <w:t xml:space="preserve">  For example, the cohort that is age 25 in 1984 attains age 65 in 2024 and is referred to as the C25 or the R2024 cohort.</w:t>
      </w:r>
    </w:p>
    <w:p w:rsidR="00FA534E" w:rsidRPr="00477CFC" w:rsidRDefault="00FA534E"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2C7446" w:rsidRPr="00477CFC" w:rsidRDefault="00BC471B"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134A37" w:rsidRPr="00477CFC">
        <w:rPr>
          <w:rFonts w:ascii="Arial" w:hAnsi="Arial" w:cs="Arial"/>
        </w:rPr>
        <w:t>The unit of observation</w:t>
      </w:r>
      <w:r w:rsidR="002B300C" w:rsidRPr="00477CFC">
        <w:rPr>
          <w:rFonts w:ascii="Arial" w:hAnsi="Arial" w:cs="Arial"/>
        </w:rPr>
        <w:t xml:space="preserve"> in the SIPP</w:t>
      </w:r>
      <w:r w:rsidR="00134A37" w:rsidRPr="00477CFC">
        <w:rPr>
          <w:rFonts w:ascii="Arial" w:hAnsi="Arial" w:cs="Arial"/>
        </w:rPr>
        <w:t xml:space="preserve"> is </w:t>
      </w:r>
      <w:r w:rsidR="00102445" w:rsidRPr="00477CFC">
        <w:rPr>
          <w:rFonts w:ascii="Arial" w:hAnsi="Arial" w:cs="Arial"/>
        </w:rPr>
        <w:t>the</w:t>
      </w:r>
      <w:r w:rsidR="00134A37" w:rsidRPr="00477CFC">
        <w:rPr>
          <w:rFonts w:ascii="Arial" w:hAnsi="Arial" w:cs="Arial"/>
        </w:rPr>
        <w:t xml:space="preserve"> individual</w:t>
      </w:r>
      <w:r w:rsidR="00605123" w:rsidRPr="00477CFC">
        <w:rPr>
          <w:rFonts w:ascii="Arial" w:hAnsi="Arial" w:cs="Arial"/>
        </w:rPr>
        <w:t xml:space="preserve"> and </w:t>
      </w:r>
      <w:r w:rsidR="00102445" w:rsidRPr="00477CFC">
        <w:rPr>
          <w:rFonts w:ascii="Arial" w:hAnsi="Arial" w:cs="Arial"/>
        </w:rPr>
        <w:t>most of our</w:t>
      </w:r>
      <w:r w:rsidR="00605123" w:rsidRPr="00477CFC">
        <w:rPr>
          <w:rFonts w:ascii="Arial" w:hAnsi="Arial" w:cs="Arial"/>
        </w:rPr>
        <w:t xml:space="preserve"> calculations are </w:t>
      </w:r>
      <w:r w:rsidR="00102445" w:rsidRPr="00477CFC">
        <w:rPr>
          <w:rFonts w:ascii="Arial" w:hAnsi="Arial" w:cs="Arial"/>
        </w:rPr>
        <w:t>performed at the level of the individual</w:t>
      </w:r>
      <w:r w:rsidR="00134A37" w:rsidRPr="00477CFC">
        <w:rPr>
          <w:rFonts w:ascii="Arial" w:hAnsi="Arial" w:cs="Arial"/>
        </w:rPr>
        <w:t>.</w:t>
      </w:r>
      <w:r w:rsidR="00605123" w:rsidRPr="00477CFC">
        <w:rPr>
          <w:rFonts w:ascii="Arial" w:hAnsi="Arial" w:cs="Arial"/>
        </w:rPr>
        <w:t xml:space="preserve">  </w:t>
      </w:r>
      <w:r w:rsidR="00F361CC" w:rsidRPr="00477CFC">
        <w:rPr>
          <w:rFonts w:ascii="Arial" w:hAnsi="Arial" w:cs="Arial"/>
        </w:rPr>
        <w:t>In addition,</w:t>
      </w:r>
      <w:r w:rsidR="004A437A" w:rsidRPr="00477CFC">
        <w:rPr>
          <w:rFonts w:ascii="Arial" w:hAnsi="Arial" w:cs="Arial"/>
        </w:rPr>
        <w:t xml:space="preserve"> we sometimes</w:t>
      </w:r>
      <w:r w:rsidR="00102445" w:rsidRPr="00477CFC">
        <w:rPr>
          <w:rFonts w:ascii="Arial" w:hAnsi="Arial" w:cs="Arial"/>
        </w:rPr>
        <w:t xml:space="preserve"> present results </w:t>
      </w:r>
      <w:r w:rsidR="001515C3" w:rsidRPr="00477CFC">
        <w:rPr>
          <w:rFonts w:ascii="Arial" w:hAnsi="Arial" w:cs="Arial"/>
        </w:rPr>
        <w:t xml:space="preserve">for families </w:t>
      </w:r>
      <w:r w:rsidR="00102445" w:rsidRPr="00477CFC">
        <w:rPr>
          <w:rFonts w:ascii="Arial" w:hAnsi="Arial" w:cs="Arial"/>
        </w:rPr>
        <w:t>b</w:t>
      </w:r>
      <w:r w:rsidR="004A437A" w:rsidRPr="00477CFC">
        <w:rPr>
          <w:rFonts w:ascii="Arial" w:hAnsi="Arial" w:cs="Arial"/>
        </w:rPr>
        <w:t>y grouping individual responses</w:t>
      </w:r>
      <w:r w:rsidR="001515C3" w:rsidRPr="00477CFC">
        <w:rPr>
          <w:rFonts w:ascii="Arial" w:hAnsi="Arial" w:cs="Arial"/>
        </w:rPr>
        <w:t xml:space="preserve">, </w:t>
      </w:r>
      <w:r w:rsidR="004A437A" w:rsidRPr="00477CFC">
        <w:rPr>
          <w:rFonts w:ascii="Arial" w:hAnsi="Arial" w:cs="Arial"/>
        </w:rPr>
        <w:t>treating</w:t>
      </w:r>
      <w:r w:rsidR="00102445" w:rsidRPr="00477CFC">
        <w:rPr>
          <w:rFonts w:ascii="Arial" w:hAnsi="Arial" w:cs="Arial"/>
        </w:rPr>
        <w:t xml:space="preserve"> </w:t>
      </w:r>
      <w:r w:rsidR="004A437A" w:rsidRPr="00477CFC">
        <w:rPr>
          <w:rFonts w:ascii="Arial" w:hAnsi="Arial" w:cs="Arial"/>
        </w:rPr>
        <w:t xml:space="preserve">unmarried persons </w:t>
      </w:r>
      <w:r w:rsidR="00134A37" w:rsidRPr="00477CFC">
        <w:rPr>
          <w:rFonts w:ascii="Arial" w:hAnsi="Arial" w:cs="Arial"/>
        </w:rPr>
        <w:t>as single</w:t>
      </w:r>
      <w:r w:rsidR="00660CAC" w:rsidRPr="00477CFC">
        <w:rPr>
          <w:rFonts w:ascii="Arial" w:hAnsi="Arial" w:cs="Arial"/>
        </w:rPr>
        <w:t>-</w:t>
      </w:r>
      <w:r w:rsidR="00134A37" w:rsidRPr="00477CFC">
        <w:rPr>
          <w:rFonts w:ascii="Arial" w:hAnsi="Arial" w:cs="Arial"/>
        </w:rPr>
        <w:t xml:space="preserve">person families and </w:t>
      </w:r>
      <w:r w:rsidR="004A437A" w:rsidRPr="00477CFC">
        <w:rPr>
          <w:rFonts w:ascii="Arial" w:hAnsi="Arial" w:cs="Arial"/>
        </w:rPr>
        <w:t>matching spouses</w:t>
      </w:r>
      <w:r w:rsidR="00134A37" w:rsidRPr="00477CFC">
        <w:rPr>
          <w:rFonts w:ascii="Arial" w:hAnsi="Arial" w:cs="Arial"/>
        </w:rPr>
        <w:t xml:space="preserve"> to create two-person family units.  A family is eligible for (or participates in) a 401(k) plan if at least one member of the family is eligible</w:t>
      </w:r>
      <w:r w:rsidR="007C7592" w:rsidRPr="00477CFC">
        <w:rPr>
          <w:rFonts w:ascii="Arial" w:hAnsi="Arial" w:cs="Arial"/>
        </w:rPr>
        <w:t xml:space="preserve"> for</w:t>
      </w:r>
      <w:r w:rsidR="00134A37" w:rsidRPr="00477CFC">
        <w:rPr>
          <w:rFonts w:ascii="Arial" w:hAnsi="Arial" w:cs="Arial"/>
        </w:rPr>
        <w:t xml:space="preserve"> (or participates) in a plan.  </w:t>
      </w:r>
      <w:r w:rsidR="00AC546D" w:rsidRPr="00477CFC">
        <w:rPr>
          <w:rFonts w:ascii="Arial" w:hAnsi="Arial" w:cs="Arial"/>
        </w:rPr>
        <w:t>The "age" of a</w:t>
      </w:r>
      <w:r w:rsidR="001515C3" w:rsidRPr="00477CFC">
        <w:rPr>
          <w:rFonts w:ascii="Arial" w:hAnsi="Arial" w:cs="Arial"/>
        </w:rPr>
        <w:t xml:space="preserve"> two-person</w:t>
      </w:r>
      <w:r w:rsidR="00AC546D" w:rsidRPr="00477CFC">
        <w:rPr>
          <w:rFonts w:ascii="Arial" w:hAnsi="Arial" w:cs="Arial"/>
        </w:rPr>
        <w:t xml:space="preserve"> family is assumed to be the age of the male </w:t>
      </w:r>
      <w:r w:rsidR="001515C3" w:rsidRPr="00477CFC">
        <w:rPr>
          <w:rFonts w:ascii="Arial" w:hAnsi="Arial" w:cs="Arial"/>
        </w:rPr>
        <w:t>spouse</w:t>
      </w:r>
      <w:r w:rsidR="00AC546D" w:rsidRPr="00477CFC">
        <w:rPr>
          <w:rFonts w:ascii="Arial" w:hAnsi="Arial" w:cs="Arial"/>
        </w:rPr>
        <w:t>.</w:t>
      </w:r>
    </w:p>
    <w:p w:rsidR="001515C3" w:rsidRPr="00477CFC" w:rsidRDefault="002C7446"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p>
    <w:p w:rsidR="008E1F1F" w:rsidRPr="00477CFC" w:rsidRDefault="001515C3"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A81197" w:rsidRPr="00477CFC">
        <w:rPr>
          <w:rFonts w:ascii="Arial" w:hAnsi="Arial" w:cs="Arial"/>
        </w:rPr>
        <w:t xml:space="preserve"> </w:t>
      </w:r>
    </w:p>
    <w:p w:rsidR="00A81197"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lastRenderedPageBreak/>
        <w:drawing>
          <wp:inline distT="0" distB="0" distL="0" distR="0">
            <wp:extent cx="5476240" cy="3747770"/>
            <wp:effectExtent l="0" t="0" r="0" b="0"/>
            <wp:docPr id="1" name="Picture 1" descr="Figure 1-1a Eligibility data for 9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1a Eligibility data for 9 cohor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6240" cy="3747770"/>
                    </a:xfrm>
                    <a:prstGeom prst="rect">
                      <a:avLst/>
                    </a:prstGeom>
                    <a:noFill/>
                    <a:ln>
                      <a:noFill/>
                    </a:ln>
                  </pic:spPr>
                </pic:pic>
              </a:graphicData>
            </a:graphic>
          </wp:inline>
        </w:drawing>
      </w:r>
    </w:p>
    <w:p w:rsidR="0005384F" w:rsidRPr="00477CFC" w:rsidRDefault="0005384F"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p>
    <w:p w:rsidR="00A81197" w:rsidRPr="00477CFC" w:rsidRDefault="0005384F"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 xml:space="preserve">We first consider data on family eligibility, organized by cohort.  The SIPP provides some data for 54 cohorts.  Figure 1-1a shows these data for 9 cohorts, five years apart, denoted by the age of the cohort in 1984.  Consider </w:t>
      </w:r>
      <w:r w:rsidR="00A81197" w:rsidRPr="00477CFC">
        <w:rPr>
          <w:rFonts w:ascii="Arial" w:hAnsi="Arial" w:cs="Arial"/>
        </w:rPr>
        <w:t xml:space="preserve">cohort C25 </w:t>
      </w:r>
      <w:r w:rsidR="00E029BD" w:rsidRPr="00477CFC">
        <w:rPr>
          <w:rFonts w:ascii="Arial" w:hAnsi="Arial" w:cs="Arial"/>
        </w:rPr>
        <w:t xml:space="preserve">that </w:t>
      </w:r>
      <w:r w:rsidR="00A81197" w:rsidRPr="00477CFC">
        <w:rPr>
          <w:rFonts w:ascii="Arial" w:hAnsi="Arial" w:cs="Arial"/>
        </w:rPr>
        <w:t xml:space="preserve">was 25 years old </w:t>
      </w:r>
      <w:r w:rsidR="00E029BD" w:rsidRPr="00477CFC">
        <w:rPr>
          <w:rFonts w:ascii="Arial" w:hAnsi="Arial" w:cs="Arial"/>
        </w:rPr>
        <w:t xml:space="preserve">in </w:t>
      </w:r>
      <w:r w:rsidR="00A81197" w:rsidRPr="00477CFC">
        <w:rPr>
          <w:rFonts w:ascii="Arial" w:hAnsi="Arial" w:cs="Arial"/>
        </w:rPr>
        <w:t>1984</w:t>
      </w:r>
      <w:r w:rsidR="00B04951" w:rsidRPr="00477CFC">
        <w:rPr>
          <w:rFonts w:ascii="Arial" w:hAnsi="Arial" w:cs="Arial"/>
        </w:rPr>
        <w:t>.</w:t>
      </w:r>
      <w:r w:rsidR="00BE279A" w:rsidRPr="00477CFC">
        <w:rPr>
          <w:rFonts w:ascii="Arial" w:hAnsi="Arial" w:cs="Arial"/>
        </w:rPr>
        <w:t xml:space="preserve"> </w:t>
      </w:r>
      <w:r w:rsidR="008B095E" w:rsidRPr="00477CFC">
        <w:rPr>
          <w:rFonts w:ascii="Arial" w:hAnsi="Arial" w:cs="Arial"/>
        </w:rPr>
        <w:t xml:space="preserve">In 1984, about </w:t>
      </w:r>
      <w:r w:rsidR="00D26383" w:rsidRPr="00477CFC">
        <w:rPr>
          <w:rFonts w:ascii="Arial" w:hAnsi="Arial" w:cs="Arial"/>
        </w:rPr>
        <w:t>7</w:t>
      </w:r>
      <w:r w:rsidR="008B095E" w:rsidRPr="00477CFC">
        <w:rPr>
          <w:rFonts w:ascii="Arial" w:hAnsi="Arial" w:cs="Arial"/>
        </w:rPr>
        <w:t xml:space="preserve"> percent of the </w:t>
      </w:r>
      <w:r w:rsidR="00E029BD" w:rsidRPr="00477CFC">
        <w:rPr>
          <w:rFonts w:ascii="Arial" w:hAnsi="Arial" w:cs="Arial"/>
        </w:rPr>
        <w:t xml:space="preserve">C25 </w:t>
      </w:r>
      <w:r w:rsidR="008B095E" w:rsidRPr="00477CFC">
        <w:rPr>
          <w:rFonts w:ascii="Arial" w:hAnsi="Arial" w:cs="Arial"/>
        </w:rPr>
        <w:t>cohort families were eligible for a 401(k) plan.  By 1987, the percent</w:t>
      </w:r>
      <w:r w:rsidR="00AC546D" w:rsidRPr="00477CFC">
        <w:rPr>
          <w:rFonts w:ascii="Arial" w:hAnsi="Arial" w:cs="Arial"/>
        </w:rPr>
        <w:t xml:space="preserve"> of this cohort</w:t>
      </w:r>
      <w:r w:rsidR="00EE0FCF" w:rsidRPr="00477CFC">
        <w:rPr>
          <w:rFonts w:ascii="Arial" w:hAnsi="Arial" w:cs="Arial"/>
        </w:rPr>
        <w:t xml:space="preserve"> that was</w:t>
      </w:r>
      <w:r w:rsidR="008B095E" w:rsidRPr="00477CFC">
        <w:rPr>
          <w:rFonts w:ascii="Arial" w:hAnsi="Arial" w:cs="Arial"/>
        </w:rPr>
        <w:t xml:space="preserve"> eligible</w:t>
      </w:r>
      <w:r w:rsidR="00EE0FCF" w:rsidRPr="00477CFC">
        <w:rPr>
          <w:rFonts w:ascii="Arial" w:hAnsi="Arial" w:cs="Arial"/>
        </w:rPr>
        <w:t xml:space="preserve"> for a 401(k) plan</w:t>
      </w:r>
      <w:r w:rsidR="008B095E" w:rsidRPr="00477CFC">
        <w:rPr>
          <w:rFonts w:ascii="Arial" w:hAnsi="Arial" w:cs="Arial"/>
        </w:rPr>
        <w:t xml:space="preserve"> had risen to about </w:t>
      </w:r>
      <w:r w:rsidR="00D26383" w:rsidRPr="00477CFC">
        <w:rPr>
          <w:rFonts w:ascii="Arial" w:hAnsi="Arial" w:cs="Arial"/>
        </w:rPr>
        <w:t>20</w:t>
      </w:r>
      <w:r w:rsidR="008B095E" w:rsidRPr="00477CFC">
        <w:rPr>
          <w:rFonts w:ascii="Arial" w:hAnsi="Arial" w:cs="Arial"/>
        </w:rPr>
        <w:t xml:space="preserve"> percent</w:t>
      </w:r>
      <w:r w:rsidR="00B04951" w:rsidRPr="00477CFC">
        <w:rPr>
          <w:rFonts w:ascii="Arial" w:hAnsi="Arial" w:cs="Arial"/>
        </w:rPr>
        <w:t>.  By 2003</w:t>
      </w:r>
      <w:r w:rsidR="005B1519" w:rsidRPr="00477CFC">
        <w:rPr>
          <w:rFonts w:ascii="Arial" w:hAnsi="Arial" w:cs="Arial"/>
        </w:rPr>
        <w:t xml:space="preserve"> this cohort is over 40 years old and</w:t>
      </w:r>
      <w:r w:rsidR="00B04951" w:rsidRPr="00477CFC">
        <w:rPr>
          <w:rFonts w:ascii="Arial" w:hAnsi="Arial" w:cs="Arial"/>
        </w:rPr>
        <w:t xml:space="preserve"> eligibility was </w:t>
      </w:r>
      <w:r w:rsidR="00D26383" w:rsidRPr="00477CFC">
        <w:rPr>
          <w:rFonts w:ascii="Arial" w:hAnsi="Arial" w:cs="Arial"/>
        </w:rPr>
        <w:t xml:space="preserve">slightly more than </w:t>
      </w:r>
      <w:r w:rsidR="00E029BD" w:rsidRPr="00477CFC">
        <w:rPr>
          <w:rFonts w:ascii="Arial" w:hAnsi="Arial" w:cs="Arial"/>
        </w:rPr>
        <w:t>7</w:t>
      </w:r>
      <w:r w:rsidR="008B095E" w:rsidRPr="00477CFC">
        <w:rPr>
          <w:rFonts w:ascii="Arial" w:hAnsi="Arial" w:cs="Arial"/>
        </w:rPr>
        <w:t>0 percent</w:t>
      </w:r>
      <w:r w:rsidR="00E029BD" w:rsidRPr="00477CFC">
        <w:rPr>
          <w:rFonts w:ascii="Arial" w:hAnsi="Arial" w:cs="Arial"/>
        </w:rPr>
        <w:t xml:space="preserve">.  </w:t>
      </w:r>
      <w:r w:rsidR="008B095E" w:rsidRPr="00477CFC">
        <w:rPr>
          <w:rFonts w:ascii="Arial" w:hAnsi="Arial" w:cs="Arial"/>
        </w:rPr>
        <w:t xml:space="preserve">The most important feature of the figure is the increase in eligibility over time for families of a given age.  For example, the dashed vertical line </w:t>
      </w:r>
      <w:r w:rsidR="00E029BD" w:rsidRPr="00477CFC">
        <w:rPr>
          <w:rFonts w:ascii="Arial" w:hAnsi="Arial" w:cs="Arial"/>
        </w:rPr>
        <w:t xml:space="preserve">highlights </w:t>
      </w:r>
      <w:r w:rsidR="007B07E5" w:rsidRPr="00477CFC">
        <w:rPr>
          <w:rFonts w:ascii="Arial" w:hAnsi="Arial" w:cs="Arial"/>
        </w:rPr>
        <w:t>the increase in the eligibility of families</w:t>
      </w:r>
      <w:r w:rsidR="00AE7D86" w:rsidRPr="00477CFC">
        <w:rPr>
          <w:rFonts w:ascii="Arial" w:hAnsi="Arial" w:cs="Arial"/>
        </w:rPr>
        <w:t xml:space="preserve"> in cohort</w:t>
      </w:r>
      <w:r w:rsidR="00E029BD" w:rsidRPr="00477CFC">
        <w:rPr>
          <w:rFonts w:ascii="Arial" w:hAnsi="Arial" w:cs="Arial"/>
        </w:rPr>
        <w:t>s</w:t>
      </w:r>
      <w:r w:rsidR="00AE7D86" w:rsidRPr="00477CFC">
        <w:rPr>
          <w:rFonts w:ascii="Arial" w:hAnsi="Arial" w:cs="Arial"/>
        </w:rPr>
        <w:t xml:space="preserve"> that attained </w:t>
      </w:r>
      <w:r w:rsidR="007B07E5" w:rsidRPr="00477CFC">
        <w:rPr>
          <w:rFonts w:ascii="Arial" w:hAnsi="Arial" w:cs="Arial"/>
        </w:rPr>
        <w:t>age 40 in</w:t>
      </w:r>
      <w:r w:rsidR="00AE7D86" w:rsidRPr="00477CFC">
        <w:rPr>
          <w:rFonts w:ascii="Arial" w:hAnsi="Arial" w:cs="Arial"/>
        </w:rPr>
        <w:t xml:space="preserve"> </w:t>
      </w:r>
      <w:r w:rsidR="00E029BD" w:rsidRPr="00477CFC">
        <w:rPr>
          <w:rFonts w:ascii="Arial" w:hAnsi="Arial" w:cs="Arial"/>
        </w:rPr>
        <w:t xml:space="preserve">successively </w:t>
      </w:r>
      <w:r w:rsidR="00AE7D86" w:rsidRPr="00477CFC">
        <w:rPr>
          <w:rFonts w:ascii="Arial" w:hAnsi="Arial" w:cs="Arial"/>
        </w:rPr>
        <w:t xml:space="preserve">later years.  Cohort C40 was 40 years old in 1984 and about </w:t>
      </w:r>
      <w:r w:rsidR="00D26383" w:rsidRPr="00477CFC">
        <w:rPr>
          <w:rFonts w:ascii="Arial" w:hAnsi="Arial" w:cs="Arial"/>
        </w:rPr>
        <w:t>16</w:t>
      </w:r>
      <w:r w:rsidR="00AE7D86" w:rsidRPr="00477CFC">
        <w:rPr>
          <w:rFonts w:ascii="Arial" w:hAnsi="Arial" w:cs="Arial"/>
        </w:rPr>
        <w:t xml:space="preserve"> percent of the C40 cohort was eligible for a 401(k) at age 40.  Cohort C35 attained age 40 in 1989 and about 34 percent of the C35 cohort </w:t>
      </w:r>
      <w:r w:rsidR="00887BB6" w:rsidRPr="00477CFC">
        <w:rPr>
          <w:rFonts w:ascii="Arial" w:hAnsi="Arial" w:cs="Arial"/>
        </w:rPr>
        <w:t>was</w:t>
      </w:r>
      <w:r w:rsidR="00AE7D86" w:rsidRPr="00477CFC">
        <w:rPr>
          <w:rFonts w:ascii="Arial" w:hAnsi="Arial" w:cs="Arial"/>
        </w:rPr>
        <w:t xml:space="preserve"> eligible for a 401(k) plan at age 40.   The C25 cohort was age 40 in 1999 and </w:t>
      </w:r>
      <w:r w:rsidR="004363C3" w:rsidRPr="00477CFC">
        <w:rPr>
          <w:rFonts w:ascii="Arial" w:hAnsi="Arial" w:cs="Arial"/>
        </w:rPr>
        <w:t>almost 70</w:t>
      </w:r>
      <w:r w:rsidR="00AE7D86" w:rsidRPr="00477CFC">
        <w:rPr>
          <w:rFonts w:ascii="Arial" w:hAnsi="Arial" w:cs="Arial"/>
        </w:rPr>
        <w:t xml:space="preserve"> percent of the C25 cohort </w:t>
      </w:r>
      <w:r w:rsidR="00887BB6" w:rsidRPr="00477CFC">
        <w:rPr>
          <w:rFonts w:ascii="Arial" w:hAnsi="Arial" w:cs="Arial"/>
        </w:rPr>
        <w:t>was</w:t>
      </w:r>
      <w:r w:rsidR="00AE7D86" w:rsidRPr="00477CFC">
        <w:rPr>
          <w:rFonts w:ascii="Arial" w:hAnsi="Arial" w:cs="Arial"/>
        </w:rPr>
        <w:t xml:space="preserve"> eligible for a 401(k) plan at age 40.  Similar increases in eligibility are evident at other ages.</w:t>
      </w:r>
    </w:p>
    <w:p w:rsidR="00EE0FCF" w:rsidRPr="00477CFC" w:rsidRDefault="00EE0FCF"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9C13EC"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lastRenderedPageBreak/>
        <w:drawing>
          <wp:inline distT="0" distB="0" distL="0" distR="0">
            <wp:extent cx="5486400" cy="3738245"/>
            <wp:effectExtent l="0" t="0" r="0" b="0"/>
            <wp:docPr id="2" name="Picture 2" descr="Figure 1-1b Eligibility data for every other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1b Eligibility data for every other coho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9C13EC" w:rsidRPr="00477CFC" w:rsidRDefault="009C13EC"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E54F2D" w:rsidRPr="00477CFC" w:rsidRDefault="00E54F2D" w:rsidP="00AE6D70">
      <w:pPr>
        <w:tabs>
          <w:tab w:val="left" w:pos="-180"/>
          <w:tab w:val="left" w:pos="720"/>
          <w:tab w:val="left" w:pos="1080"/>
          <w:tab w:val="left" w:pos="1440"/>
          <w:tab w:val="left" w:pos="1800"/>
          <w:tab w:val="left" w:pos="2160"/>
          <w:tab w:val="left" w:pos="2520"/>
          <w:tab w:val="left" w:pos="2880"/>
        </w:tabs>
      </w:pPr>
    </w:p>
    <w:p w:rsidR="00660CAC"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b/>
        </w:rPr>
      </w:pPr>
      <w:r>
        <w:rPr>
          <w:noProof/>
        </w:rPr>
        <w:drawing>
          <wp:inline distT="0" distB="0" distL="0" distR="0">
            <wp:extent cx="5476240" cy="3747770"/>
            <wp:effectExtent l="0" t="0" r="0" b="0"/>
            <wp:docPr id="3" name="Picture 3" descr="Figure 1-1c Eligibility data for all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1c Eligibility data for all cohor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6240" cy="3747770"/>
                    </a:xfrm>
                    <a:prstGeom prst="rect">
                      <a:avLst/>
                    </a:prstGeom>
                    <a:noFill/>
                    <a:ln>
                      <a:noFill/>
                    </a:ln>
                  </pic:spPr>
                </pic:pic>
              </a:graphicData>
            </a:graphic>
          </wp:inline>
        </w:drawing>
      </w:r>
    </w:p>
    <w:p w:rsidR="00FD6E48" w:rsidRPr="00477CFC" w:rsidRDefault="00FD6E48" w:rsidP="00DE4EA4">
      <w:pPr>
        <w:rPr>
          <w:rFonts w:ascii="Arial" w:hAnsi="Arial" w:cs="Arial"/>
        </w:rPr>
      </w:pPr>
    </w:p>
    <w:p w:rsidR="00DE4EA4" w:rsidRPr="00477CFC" w:rsidRDefault="00FD6E48" w:rsidP="00FD6E48">
      <w:pPr>
        <w:ind w:firstLine="720"/>
        <w:rPr>
          <w:rFonts w:ascii="Arial" w:hAnsi="Arial" w:cs="Arial"/>
        </w:rPr>
      </w:pPr>
      <w:r w:rsidRPr="00477CFC">
        <w:rPr>
          <w:rFonts w:ascii="Arial" w:hAnsi="Arial" w:cs="Arial"/>
        </w:rPr>
        <w:lastRenderedPageBreak/>
        <w:t>Figure 1-1b shows eligibility data for every other cohort for which data can be obtained from the SIPP.  Figure 1-1c shows data for every cohort, from C11 to C64.  The youngest cohorts are shown in the upper left of the figure and the oldest are shown in the upper right.</w:t>
      </w:r>
      <w:r w:rsidRPr="00477CFC">
        <w:rPr>
          <w:rStyle w:val="FootnoteReference"/>
          <w:rFonts w:ascii="Arial" w:hAnsi="Arial" w:cs="Arial"/>
        </w:rPr>
        <w:footnoteReference w:id="1"/>
      </w:r>
      <w:r w:rsidRPr="00477CFC">
        <w:rPr>
          <w:rFonts w:ascii="Arial" w:hAnsi="Arial" w:cs="Arial"/>
        </w:rPr>
        <w:t xml:space="preserve">  Again, the dashed vertical lines highlight increases in eligibility for cohorts that reached given ages in successively later years.  In Figure 1-1b, it is clear that with few exceptions cohorts that reached a given age in successively later years had successively higher 401(k) eligibility </w:t>
      </w:r>
      <w:r w:rsidR="00DE4EA4" w:rsidRPr="00477CFC">
        <w:rPr>
          <w:rFonts w:ascii="Arial" w:hAnsi="Arial" w:cs="Arial"/>
        </w:rPr>
        <w:t>rates.  The same pattern is shown in Figure 1-1c, with surprisingly few “cross-overs” in the individual cohort trends even though in this figure each successively younger cohort, from bottom-right to top-left in the figure, is only one year younger than the prior cohort.</w:t>
      </w:r>
    </w:p>
    <w:p w:rsidR="00DE4EA4" w:rsidRPr="00477CFC" w:rsidRDefault="00DE4EA4" w:rsidP="00DE4EA4">
      <w:pPr>
        <w:rPr>
          <w:rFonts w:ascii="Arial" w:hAnsi="Arial" w:cs="Arial"/>
        </w:rPr>
      </w:pPr>
    </w:p>
    <w:p w:rsidR="006361B1" w:rsidRPr="00477CFC" w:rsidRDefault="00036FAC"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The increase in eligibility rates reflects the spread of 401(k) plans to more firms</w:t>
      </w:r>
      <w:r w:rsidR="00351A2B" w:rsidRPr="00477CFC">
        <w:rPr>
          <w:rFonts w:ascii="Arial" w:hAnsi="Arial" w:cs="Arial"/>
        </w:rPr>
        <w:t xml:space="preserve"> and</w:t>
      </w:r>
      <w:r w:rsidR="00186825" w:rsidRPr="00477CFC">
        <w:rPr>
          <w:rFonts w:ascii="Arial" w:hAnsi="Arial" w:cs="Arial"/>
        </w:rPr>
        <w:t xml:space="preserve"> especially to </w:t>
      </w:r>
      <w:r w:rsidR="008F07CE" w:rsidRPr="00477CFC">
        <w:rPr>
          <w:rFonts w:ascii="Arial" w:hAnsi="Arial" w:cs="Arial"/>
        </w:rPr>
        <w:t>small</w:t>
      </w:r>
      <w:r w:rsidR="00186825" w:rsidRPr="00477CFC">
        <w:rPr>
          <w:rFonts w:ascii="Arial" w:hAnsi="Arial" w:cs="Arial"/>
        </w:rPr>
        <w:t>er</w:t>
      </w:r>
      <w:r w:rsidR="008F07CE" w:rsidRPr="00477CFC">
        <w:rPr>
          <w:rFonts w:ascii="Arial" w:hAnsi="Arial" w:cs="Arial"/>
        </w:rPr>
        <w:t xml:space="preserve"> employers.  </w:t>
      </w:r>
      <w:r w:rsidR="006361B1" w:rsidRPr="00477CFC">
        <w:rPr>
          <w:rFonts w:ascii="Arial" w:hAnsi="Arial" w:cs="Arial"/>
        </w:rPr>
        <w:t>As described in Poterba, Venti, and Wise (20</w:t>
      </w:r>
      <w:r w:rsidR="00186825" w:rsidRPr="00477CFC">
        <w:rPr>
          <w:rFonts w:ascii="Arial" w:hAnsi="Arial" w:cs="Arial"/>
        </w:rPr>
        <w:t>04</w:t>
      </w:r>
      <w:r w:rsidR="006361B1" w:rsidRPr="00477CFC">
        <w:rPr>
          <w:rFonts w:ascii="Arial" w:hAnsi="Arial" w:cs="Arial"/>
        </w:rPr>
        <w:t>)</w:t>
      </w:r>
      <w:r w:rsidR="00186825" w:rsidRPr="00477CFC">
        <w:rPr>
          <w:rFonts w:ascii="Arial" w:hAnsi="Arial" w:cs="Arial"/>
        </w:rPr>
        <w:t>,</w:t>
      </w:r>
      <w:r w:rsidR="006361B1" w:rsidRPr="00477CFC">
        <w:rPr>
          <w:rFonts w:ascii="Arial" w:hAnsi="Arial" w:cs="Arial"/>
        </w:rPr>
        <w:t xml:space="preserve"> for example, a large fraction of employers who first adopted 401(k) plans</w:t>
      </w:r>
      <w:r w:rsidR="00AC546D" w:rsidRPr="00477CFC">
        <w:rPr>
          <w:rFonts w:ascii="Arial" w:hAnsi="Arial" w:cs="Arial"/>
        </w:rPr>
        <w:t xml:space="preserve"> in the early and mid-1980s</w:t>
      </w:r>
      <w:r w:rsidR="006361B1" w:rsidRPr="00477CFC">
        <w:rPr>
          <w:rFonts w:ascii="Arial" w:hAnsi="Arial" w:cs="Arial"/>
        </w:rPr>
        <w:t xml:space="preserve"> also offered DB plans</w:t>
      </w:r>
      <w:r w:rsidR="00B04951" w:rsidRPr="00477CFC">
        <w:rPr>
          <w:rFonts w:ascii="Arial" w:hAnsi="Arial" w:cs="Arial"/>
        </w:rPr>
        <w:t xml:space="preserve">; </w:t>
      </w:r>
      <w:r w:rsidR="006361B1" w:rsidRPr="00477CFC">
        <w:rPr>
          <w:rFonts w:ascii="Arial" w:hAnsi="Arial" w:cs="Arial"/>
        </w:rPr>
        <w:t xml:space="preserve">few of these employers discontinued the DB plan when the 401(k) plan was adopted.  Employers who instituted 401(k) plans later were less likely to have existing DB plans and were </w:t>
      </w:r>
      <w:r w:rsidR="00351A2B" w:rsidRPr="00477CFC">
        <w:rPr>
          <w:rFonts w:ascii="Arial" w:hAnsi="Arial" w:cs="Arial"/>
        </w:rPr>
        <w:t>typically</w:t>
      </w:r>
      <w:r w:rsidR="006361B1" w:rsidRPr="00477CFC">
        <w:rPr>
          <w:rFonts w:ascii="Arial" w:hAnsi="Arial" w:cs="Arial"/>
        </w:rPr>
        <w:t xml:space="preserve"> smaller firms.  </w:t>
      </w:r>
    </w:p>
    <w:p w:rsidR="00EE0FCF" w:rsidRPr="00477CFC" w:rsidRDefault="00EE0FCF"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EB5C39" w:rsidRPr="00477CFC" w:rsidRDefault="006361B1"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EE0FCF" w:rsidRPr="00477CFC">
        <w:rPr>
          <w:rFonts w:ascii="Arial" w:hAnsi="Arial" w:cs="Arial"/>
        </w:rPr>
        <w:t xml:space="preserve">The participation rates in 401(k) plans show </w:t>
      </w:r>
      <w:r w:rsidR="00AC546D" w:rsidRPr="00477CFC">
        <w:rPr>
          <w:rFonts w:ascii="Arial" w:hAnsi="Arial" w:cs="Arial"/>
        </w:rPr>
        <w:t xml:space="preserve">patterns </w:t>
      </w:r>
      <w:r w:rsidR="00EE0FCF" w:rsidRPr="00477CFC">
        <w:rPr>
          <w:rFonts w:ascii="Arial" w:hAnsi="Arial" w:cs="Arial"/>
        </w:rPr>
        <w:t xml:space="preserve">similar to those for </w:t>
      </w:r>
      <w:r w:rsidR="00AC546D" w:rsidRPr="00477CFC">
        <w:rPr>
          <w:rFonts w:ascii="Arial" w:hAnsi="Arial" w:cs="Arial"/>
        </w:rPr>
        <w:t>eligibility</w:t>
      </w:r>
      <w:r w:rsidR="00EE0FCF" w:rsidRPr="00477CFC">
        <w:rPr>
          <w:rFonts w:ascii="Arial" w:hAnsi="Arial" w:cs="Arial"/>
        </w:rPr>
        <w:t xml:space="preserve"> rates</w:t>
      </w:r>
      <w:r w:rsidR="00AC546D" w:rsidRPr="00477CFC">
        <w:rPr>
          <w:rFonts w:ascii="Arial" w:hAnsi="Arial" w:cs="Arial"/>
        </w:rPr>
        <w:t xml:space="preserve">.  </w:t>
      </w:r>
      <w:r w:rsidR="00186825" w:rsidRPr="00477CFC">
        <w:rPr>
          <w:rFonts w:ascii="Arial" w:hAnsi="Arial" w:cs="Arial"/>
        </w:rPr>
        <w:t>F</w:t>
      </w:r>
      <w:r w:rsidRPr="00477CFC">
        <w:rPr>
          <w:rFonts w:ascii="Arial" w:hAnsi="Arial" w:cs="Arial"/>
        </w:rPr>
        <w:t>amily participation rate</w:t>
      </w:r>
      <w:r w:rsidR="00EB5C39" w:rsidRPr="00477CFC">
        <w:rPr>
          <w:rFonts w:ascii="Arial" w:hAnsi="Arial" w:cs="Arial"/>
        </w:rPr>
        <w:t>s</w:t>
      </w:r>
      <w:r w:rsidRPr="00477CFC">
        <w:rPr>
          <w:rFonts w:ascii="Arial" w:hAnsi="Arial" w:cs="Arial"/>
        </w:rPr>
        <w:t xml:space="preserve"> in 401(k) plans </w:t>
      </w:r>
      <w:r w:rsidR="00186825" w:rsidRPr="00477CFC">
        <w:rPr>
          <w:rFonts w:ascii="Arial" w:hAnsi="Arial" w:cs="Arial"/>
        </w:rPr>
        <w:t>are</w:t>
      </w:r>
      <w:r w:rsidRPr="00477CFC">
        <w:rPr>
          <w:rFonts w:ascii="Arial" w:hAnsi="Arial" w:cs="Arial"/>
        </w:rPr>
        <w:t xml:space="preserve"> shown by cohort in Figures </w:t>
      </w:r>
      <w:r w:rsidR="00431D52" w:rsidRPr="00477CFC">
        <w:rPr>
          <w:rFonts w:ascii="Arial" w:hAnsi="Arial" w:cs="Arial"/>
        </w:rPr>
        <w:t>1-</w:t>
      </w:r>
      <w:r w:rsidRPr="00477CFC">
        <w:rPr>
          <w:rFonts w:ascii="Arial" w:hAnsi="Arial" w:cs="Arial"/>
        </w:rPr>
        <w:t xml:space="preserve">2a, </w:t>
      </w:r>
      <w:r w:rsidR="00431D52" w:rsidRPr="00477CFC">
        <w:rPr>
          <w:rFonts w:ascii="Arial" w:hAnsi="Arial" w:cs="Arial"/>
        </w:rPr>
        <w:t>1-</w:t>
      </w:r>
      <w:r w:rsidRPr="00477CFC">
        <w:rPr>
          <w:rFonts w:ascii="Arial" w:hAnsi="Arial" w:cs="Arial"/>
        </w:rPr>
        <w:t xml:space="preserve">2b, and </w:t>
      </w:r>
      <w:r w:rsidR="00431D52" w:rsidRPr="00477CFC">
        <w:rPr>
          <w:rFonts w:ascii="Arial" w:hAnsi="Arial" w:cs="Arial"/>
        </w:rPr>
        <w:t>1-</w:t>
      </w:r>
      <w:r w:rsidRPr="00477CFC">
        <w:rPr>
          <w:rFonts w:ascii="Arial" w:hAnsi="Arial" w:cs="Arial"/>
        </w:rPr>
        <w:t>2c</w:t>
      </w:r>
      <w:r w:rsidR="007F7755" w:rsidRPr="00477CFC">
        <w:rPr>
          <w:rFonts w:ascii="Arial" w:hAnsi="Arial" w:cs="Arial"/>
        </w:rPr>
        <w:t>.  As in the eligibility</w:t>
      </w:r>
      <w:r w:rsidR="00186825" w:rsidRPr="00477CFC">
        <w:rPr>
          <w:rFonts w:ascii="Arial" w:hAnsi="Arial" w:cs="Arial"/>
        </w:rPr>
        <w:t xml:space="preserve"> Figure</w:t>
      </w:r>
      <w:r w:rsidR="00EB5C39" w:rsidRPr="00477CFC">
        <w:rPr>
          <w:rFonts w:ascii="Arial" w:hAnsi="Arial" w:cs="Arial"/>
        </w:rPr>
        <w:t>s</w:t>
      </w:r>
      <w:r w:rsidR="00186825" w:rsidRPr="00477CFC">
        <w:rPr>
          <w:rFonts w:ascii="Arial" w:hAnsi="Arial" w:cs="Arial"/>
        </w:rPr>
        <w:t xml:space="preserve"> 1</w:t>
      </w:r>
      <w:r w:rsidR="003B6669" w:rsidRPr="00477CFC">
        <w:rPr>
          <w:rFonts w:ascii="Arial" w:hAnsi="Arial" w:cs="Arial"/>
        </w:rPr>
        <w:t>-1</w:t>
      </w:r>
      <w:r w:rsidR="00186825" w:rsidRPr="00477CFC">
        <w:rPr>
          <w:rFonts w:ascii="Arial" w:hAnsi="Arial" w:cs="Arial"/>
        </w:rPr>
        <w:t>a, 1</w:t>
      </w:r>
      <w:r w:rsidR="003B6669" w:rsidRPr="00477CFC">
        <w:rPr>
          <w:rFonts w:ascii="Arial" w:hAnsi="Arial" w:cs="Arial"/>
        </w:rPr>
        <w:t>-1</w:t>
      </w:r>
      <w:r w:rsidR="00186825" w:rsidRPr="00477CFC">
        <w:rPr>
          <w:rFonts w:ascii="Arial" w:hAnsi="Arial" w:cs="Arial"/>
        </w:rPr>
        <w:t>b, and 1</w:t>
      </w:r>
      <w:r w:rsidR="003B6669" w:rsidRPr="00477CFC">
        <w:rPr>
          <w:rFonts w:ascii="Arial" w:hAnsi="Arial" w:cs="Arial"/>
        </w:rPr>
        <w:t>-1</w:t>
      </w:r>
      <w:r w:rsidR="00186825" w:rsidRPr="00477CFC">
        <w:rPr>
          <w:rFonts w:ascii="Arial" w:hAnsi="Arial" w:cs="Arial"/>
        </w:rPr>
        <w:t>c,</w:t>
      </w:r>
      <w:r w:rsidR="00EB5C39" w:rsidRPr="00477CFC">
        <w:rPr>
          <w:rFonts w:ascii="Arial" w:hAnsi="Arial" w:cs="Arial"/>
        </w:rPr>
        <w:t xml:space="preserve"> the dashed vertical lines highlight the increase in the participation rate of families who attained a given age in successively later years.  For example, Figure </w:t>
      </w:r>
      <w:r w:rsidR="003B6669" w:rsidRPr="00477CFC">
        <w:rPr>
          <w:rFonts w:ascii="Arial" w:hAnsi="Arial" w:cs="Arial"/>
        </w:rPr>
        <w:t>1-</w:t>
      </w:r>
      <w:r w:rsidR="00EB5C39" w:rsidRPr="00477CFC">
        <w:rPr>
          <w:rFonts w:ascii="Arial" w:hAnsi="Arial" w:cs="Arial"/>
        </w:rPr>
        <w:t>2a shows that only about 10 percent of the C4</w:t>
      </w:r>
      <w:r w:rsidR="00696463" w:rsidRPr="00477CFC">
        <w:rPr>
          <w:rFonts w:ascii="Arial" w:hAnsi="Arial" w:cs="Arial"/>
        </w:rPr>
        <w:t>0</w:t>
      </w:r>
      <w:r w:rsidR="00EB5C39" w:rsidRPr="00477CFC">
        <w:rPr>
          <w:rFonts w:ascii="Arial" w:hAnsi="Arial" w:cs="Arial"/>
        </w:rPr>
        <w:t xml:space="preserve"> cohort</w:t>
      </w:r>
      <w:r w:rsidR="00B04951" w:rsidRPr="00477CFC">
        <w:rPr>
          <w:rFonts w:ascii="Arial" w:hAnsi="Arial" w:cs="Arial"/>
        </w:rPr>
        <w:t>, those who were age 4</w:t>
      </w:r>
      <w:r w:rsidR="00696463" w:rsidRPr="00477CFC">
        <w:rPr>
          <w:rFonts w:ascii="Arial" w:hAnsi="Arial" w:cs="Arial"/>
        </w:rPr>
        <w:t>0</w:t>
      </w:r>
      <w:r w:rsidR="00B04951" w:rsidRPr="00477CFC">
        <w:rPr>
          <w:rFonts w:ascii="Arial" w:hAnsi="Arial" w:cs="Arial"/>
        </w:rPr>
        <w:t xml:space="preserve"> in 1984, </w:t>
      </w:r>
      <w:r w:rsidR="00EB5C39" w:rsidRPr="00477CFC">
        <w:rPr>
          <w:rFonts w:ascii="Arial" w:hAnsi="Arial" w:cs="Arial"/>
        </w:rPr>
        <w:t xml:space="preserve">participated in a 401(k) plan.  But </w:t>
      </w:r>
      <w:r w:rsidR="004363C3" w:rsidRPr="00477CFC">
        <w:rPr>
          <w:rFonts w:ascii="Arial" w:hAnsi="Arial" w:cs="Arial"/>
        </w:rPr>
        <w:t>over 50</w:t>
      </w:r>
      <w:r w:rsidR="00EB5C39" w:rsidRPr="00477CFC">
        <w:rPr>
          <w:rFonts w:ascii="Arial" w:hAnsi="Arial" w:cs="Arial"/>
        </w:rPr>
        <w:t xml:space="preserve"> percent of the C25 cohort, </w:t>
      </w:r>
      <w:r w:rsidR="00B04951" w:rsidRPr="00477CFC">
        <w:rPr>
          <w:rFonts w:ascii="Arial" w:hAnsi="Arial" w:cs="Arial"/>
        </w:rPr>
        <w:t xml:space="preserve">which </w:t>
      </w:r>
      <w:r w:rsidR="00EB5C39" w:rsidRPr="00477CFC">
        <w:rPr>
          <w:rFonts w:ascii="Arial" w:hAnsi="Arial" w:cs="Arial"/>
        </w:rPr>
        <w:t xml:space="preserve">attained age 40 in 1999, participated in a 401(k) plan.  More detail is shown in Figures </w:t>
      </w:r>
      <w:r w:rsidR="003B6669" w:rsidRPr="00477CFC">
        <w:rPr>
          <w:rFonts w:ascii="Arial" w:hAnsi="Arial" w:cs="Arial"/>
        </w:rPr>
        <w:t>1-</w:t>
      </w:r>
      <w:r w:rsidR="00EB5C39" w:rsidRPr="00477CFC">
        <w:rPr>
          <w:rFonts w:ascii="Arial" w:hAnsi="Arial" w:cs="Arial"/>
        </w:rPr>
        <w:t xml:space="preserve">2b and 2c.  Figure </w:t>
      </w:r>
      <w:r w:rsidR="003B6669" w:rsidRPr="00477CFC">
        <w:rPr>
          <w:rFonts w:ascii="Arial" w:hAnsi="Arial" w:cs="Arial"/>
        </w:rPr>
        <w:t>1-</w:t>
      </w:r>
      <w:r w:rsidR="00EB5C39" w:rsidRPr="00477CFC">
        <w:rPr>
          <w:rFonts w:ascii="Arial" w:hAnsi="Arial" w:cs="Arial"/>
        </w:rPr>
        <w:t xml:space="preserve">2b shows participation </w:t>
      </w:r>
      <w:r w:rsidR="00BA5EDD" w:rsidRPr="00477CFC">
        <w:rPr>
          <w:rFonts w:ascii="Arial" w:hAnsi="Arial" w:cs="Arial"/>
        </w:rPr>
        <w:t xml:space="preserve">rates </w:t>
      </w:r>
      <w:r w:rsidR="00EB5C39" w:rsidRPr="00477CFC">
        <w:rPr>
          <w:rFonts w:ascii="Arial" w:hAnsi="Arial" w:cs="Arial"/>
        </w:rPr>
        <w:t xml:space="preserve">for </w:t>
      </w:r>
      <w:r w:rsidR="00BA5EDD" w:rsidRPr="00477CFC">
        <w:rPr>
          <w:rFonts w:ascii="Arial" w:hAnsi="Arial" w:cs="Arial"/>
        </w:rPr>
        <w:t xml:space="preserve">every other </w:t>
      </w:r>
      <w:r w:rsidR="00EB5C39" w:rsidRPr="00477CFC">
        <w:rPr>
          <w:rFonts w:ascii="Arial" w:hAnsi="Arial" w:cs="Arial"/>
        </w:rPr>
        <w:t xml:space="preserve">cohort and Figure </w:t>
      </w:r>
      <w:r w:rsidR="003B6669" w:rsidRPr="00477CFC">
        <w:rPr>
          <w:rFonts w:ascii="Arial" w:hAnsi="Arial" w:cs="Arial"/>
        </w:rPr>
        <w:t>1-</w:t>
      </w:r>
      <w:r w:rsidR="00EB5C39" w:rsidRPr="00477CFC">
        <w:rPr>
          <w:rFonts w:ascii="Arial" w:hAnsi="Arial" w:cs="Arial"/>
        </w:rPr>
        <w:t xml:space="preserve">2c shows participation </w:t>
      </w:r>
      <w:r w:rsidR="00BA5EDD" w:rsidRPr="00477CFC">
        <w:rPr>
          <w:rFonts w:ascii="Arial" w:hAnsi="Arial" w:cs="Arial"/>
        </w:rPr>
        <w:t>rates</w:t>
      </w:r>
      <w:r w:rsidR="00EB5C39" w:rsidRPr="00477CFC">
        <w:rPr>
          <w:rFonts w:ascii="Arial" w:hAnsi="Arial" w:cs="Arial"/>
        </w:rPr>
        <w:t xml:space="preserve"> for each of the cohorts for which data are available in the SIPP.</w:t>
      </w:r>
    </w:p>
    <w:p w:rsidR="007F7755" w:rsidRPr="00477CFC" w:rsidRDefault="00AF2C36" w:rsidP="00696463">
      <w:pPr>
        <w:rPr>
          <w:rFonts w:ascii="Arial" w:hAnsi="Arial" w:cs="Arial"/>
        </w:rPr>
      </w:pPr>
      <w:r>
        <w:rPr>
          <w:noProof/>
        </w:rPr>
        <w:lastRenderedPageBreak/>
        <w:drawing>
          <wp:inline distT="0" distB="0" distL="0" distR="0">
            <wp:extent cx="5476240" cy="3747770"/>
            <wp:effectExtent l="0" t="0" r="0" b="0"/>
            <wp:docPr id="4" name="Picture 4" descr="Figure 1-2a Participation data for 9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2a Participation data for 9 cohort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6240" cy="3747770"/>
                    </a:xfrm>
                    <a:prstGeom prst="rect">
                      <a:avLst/>
                    </a:prstGeom>
                    <a:noFill/>
                    <a:ln>
                      <a:noFill/>
                    </a:ln>
                  </pic:spPr>
                </pic:pic>
              </a:graphicData>
            </a:graphic>
          </wp:inline>
        </w:drawing>
      </w:r>
    </w:p>
    <w:p w:rsidR="007F7755"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drawing>
          <wp:inline distT="0" distB="0" distL="0" distR="0">
            <wp:extent cx="5476240" cy="3747770"/>
            <wp:effectExtent l="0" t="0" r="0" b="0"/>
            <wp:docPr id="5" name="Picture 5" descr="Figure 1-2b Participation data for every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2b Participation data for every coho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6240" cy="3747770"/>
                    </a:xfrm>
                    <a:prstGeom prst="rect">
                      <a:avLst/>
                    </a:prstGeom>
                    <a:noFill/>
                    <a:ln>
                      <a:noFill/>
                    </a:ln>
                  </pic:spPr>
                </pic:pic>
              </a:graphicData>
            </a:graphic>
          </wp:inline>
        </w:drawing>
      </w:r>
    </w:p>
    <w:p w:rsidR="002E3AD0"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lastRenderedPageBreak/>
        <w:drawing>
          <wp:inline distT="0" distB="0" distL="0" distR="0">
            <wp:extent cx="5486400" cy="3738245"/>
            <wp:effectExtent l="0" t="0" r="0" b="0"/>
            <wp:docPr id="6" name="Picture 6" descr="Figure 1-2c Participation data for all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2c Participation data for all cohor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2E3AD0" w:rsidRPr="00477CFC" w:rsidRDefault="002E3AD0"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r w:rsidRPr="00477CFC">
        <w:rPr>
          <w:rFonts w:ascii="Arial" w:hAnsi="Arial" w:cs="Arial"/>
        </w:rPr>
        <w:tab/>
        <w:t>The cohort figures show a very large increase in 401(k) eligibility and participation rate</w:t>
      </w:r>
      <w:r w:rsidR="00186825" w:rsidRPr="00477CFC">
        <w:rPr>
          <w:rFonts w:ascii="Arial" w:hAnsi="Arial" w:cs="Arial"/>
        </w:rPr>
        <w:t>s</w:t>
      </w:r>
      <w:r w:rsidR="00BA5EDD" w:rsidRPr="00477CFC">
        <w:rPr>
          <w:rFonts w:ascii="Arial" w:hAnsi="Arial" w:cs="Arial"/>
        </w:rPr>
        <w:t xml:space="preserve"> between 1984 and 2003</w:t>
      </w:r>
      <w:r w:rsidRPr="00477CFC">
        <w:rPr>
          <w:rFonts w:ascii="Arial" w:hAnsi="Arial" w:cs="Arial"/>
        </w:rPr>
        <w:t>.  In particular, cohort</w:t>
      </w:r>
      <w:r w:rsidR="00186825" w:rsidRPr="00477CFC">
        <w:rPr>
          <w:rFonts w:ascii="Arial" w:hAnsi="Arial" w:cs="Arial"/>
        </w:rPr>
        <w:t>s</w:t>
      </w:r>
      <w:r w:rsidRPr="00477CFC">
        <w:rPr>
          <w:rFonts w:ascii="Arial" w:hAnsi="Arial" w:cs="Arial"/>
        </w:rPr>
        <w:t xml:space="preserve"> that reached a given age in successively later years had successively </w:t>
      </w:r>
      <w:r w:rsidR="00047F36" w:rsidRPr="00477CFC">
        <w:rPr>
          <w:rFonts w:ascii="Arial" w:hAnsi="Arial" w:cs="Arial"/>
        </w:rPr>
        <w:t>higher</w:t>
      </w:r>
      <w:r w:rsidRPr="00477CFC">
        <w:rPr>
          <w:rFonts w:ascii="Arial" w:hAnsi="Arial" w:cs="Arial"/>
        </w:rPr>
        <w:t xml:space="preserve"> eligibility and participation rates.  The increase in eligibility and participation rates at selected ages between 1984 and 2003 is summarized in Table 1</w:t>
      </w:r>
      <w:r w:rsidR="008B2047" w:rsidRPr="00477CFC">
        <w:rPr>
          <w:rFonts w:ascii="Arial" w:hAnsi="Arial" w:cs="Arial"/>
        </w:rPr>
        <w:t>-1</w:t>
      </w:r>
      <w:r w:rsidRPr="00477CFC">
        <w:rPr>
          <w:rFonts w:ascii="Arial" w:hAnsi="Arial" w:cs="Arial"/>
        </w:rPr>
        <w:t xml:space="preserve">.  The table shows the eligibility rate and the participation rate for cohorts </w:t>
      </w:r>
      <w:r w:rsidR="004363C3" w:rsidRPr="00477CFC">
        <w:rPr>
          <w:rFonts w:ascii="Arial" w:hAnsi="Arial" w:cs="Arial"/>
        </w:rPr>
        <w:t>in the age intervals</w:t>
      </w:r>
      <w:r w:rsidRPr="00477CFC">
        <w:rPr>
          <w:rFonts w:ascii="Arial" w:hAnsi="Arial" w:cs="Arial"/>
        </w:rPr>
        <w:t xml:space="preserve"> 30</w:t>
      </w:r>
      <w:r w:rsidR="004363C3" w:rsidRPr="00477CFC">
        <w:rPr>
          <w:rFonts w:ascii="Arial" w:hAnsi="Arial" w:cs="Arial"/>
        </w:rPr>
        <w:t>-34</w:t>
      </w:r>
      <w:r w:rsidRPr="00477CFC">
        <w:rPr>
          <w:rFonts w:ascii="Arial" w:hAnsi="Arial" w:cs="Arial"/>
        </w:rPr>
        <w:t>, 45</w:t>
      </w:r>
      <w:r w:rsidR="004363C3" w:rsidRPr="00477CFC">
        <w:rPr>
          <w:rFonts w:ascii="Arial" w:hAnsi="Arial" w:cs="Arial"/>
        </w:rPr>
        <w:t>-49</w:t>
      </w:r>
      <w:r w:rsidRPr="00477CFC">
        <w:rPr>
          <w:rFonts w:ascii="Arial" w:hAnsi="Arial" w:cs="Arial"/>
        </w:rPr>
        <w:t xml:space="preserve"> and 60</w:t>
      </w:r>
      <w:r w:rsidR="004363C3" w:rsidRPr="00477CFC">
        <w:rPr>
          <w:rFonts w:ascii="Arial" w:hAnsi="Arial" w:cs="Arial"/>
        </w:rPr>
        <w:t>-64</w:t>
      </w:r>
      <w:r w:rsidRPr="00477CFC">
        <w:rPr>
          <w:rFonts w:ascii="Arial" w:hAnsi="Arial" w:cs="Arial"/>
        </w:rPr>
        <w:t xml:space="preserve"> in 1</w:t>
      </w:r>
      <w:r w:rsidR="00FF3332" w:rsidRPr="00477CFC">
        <w:rPr>
          <w:rFonts w:ascii="Arial" w:hAnsi="Arial" w:cs="Arial"/>
        </w:rPr>
        <w:t>9</w:t>
      </w:r>
      <w:r w:rsidRPr="00477CFC">
        <w:rPr>
          <w:rFonts w:ascii="Arial" w:hAnsi="Arial" w:cs="Arial"/>
        </w:rPr>
        <w:t>84 and 2003.</w:t>
      </w:r>
      <w:r w:rsidR="00FE7A0E" w:rsidRPr="00477CFC">
        <w:rPr>
          <w:rFonts w:ascii="Arial" w:hAnsi="Arial" w:cs="Arial"/>
        </w:rPr>
        <w:t xml:space="preserve">  </w:t>
      </w:r>
      <w:r w:rsidR="00B04951" w:rsidRPr="00477CFC">
        <w:rPr>
          <w:rFonts w:ascii="Arial" w:hAnsi="Arial" w:cs="Arial"/>
        </w:rPr>
        <w:t>W</w:t>
      </w:r>
      <w:r w:rsidR="00FE7A0E" w:rsidRPr="00477CFC">
        <w:rPr>
          <w:rFonts w:ascii="Arial" w:hAnsi="Arial" w:cs="Arial"/>
        </w:rPr>
        <w:t>hile only 1</w:t>
      </w:r>
      <w:r w:rsidR="004363C3" w:rsidRPr="00477CFC">
        <w:rPr>
          <w:rFonts w:ascii="Arial" w:hAnsi="Arial" w:cs="Arial"/>
        </w:rPr>
        <w:t>4</w:t>
      </w:r>
      <w:r w:rsidR="00FE7A0E" w:rsidRPr="00477CFC">
        <w:rPr>
          <w:rFonts w:ascii="Arial" w:hAnsi="Arial" w:cs="Arial"/>
        </w:rPr>
        <w:t>.8 percent of the cohort age 30</w:t>
      </w:r>
      <w:r w:rsidR="004363C3" w:rsidRPr="00477CFC">
        <w:rPr>
          <w:rFonts w:ascii="Arial" w:hAnsi="Arial" w:cs="Arial"/>
        </w:rPr>
        <w:t>-34</w:t>
      </w:r>
      <w:r w:rsidR="00FE7A0E" w:rsidRPr="00477CFC">
        <w:rPr>
          <w:rFonts w:ascii="Arial" w:hAnsi="Arial" w:cs="Arial"/>
        </w:rPr>
        <w:t xml:space="preserve"> in 1984 was eligible for a 401(k) plan, </w:t>
      </w:r>
      <w:r w:rsidR="004363C3" w:rsidRPr="00477CFC">
        <w:rPr>
          <w:rFonts w:ascii="Arial" w:hAnsi="Arial" w:cs="Arial"/>
        </w:rPr>
        <w:t>66.8</w:t>
      </w:r>
      <w:r w:rsidR="00FE7A0E" w:rsidRPr="00477CFC">
        <w:rPr>
          <w:rFonts w:ascii="Arial" w:hAnsi="Arial" w:cs="Arial"/>
        </w:rPr>
        <w:t xml:space="preserve"> percent of the cohort that attained age 30</w:t>
      </w:r>
      <w:r w:rsidR="004363C3" w:rsidRPr="00477CFC">
        <w:rPr>
          <w:rFonts w:ascii="Arial" w:hAnsi="Arial" w:cs="Arial"/>
        </w:rPr>
        <w:t>-34</w:t>
      </w:r>
      <w:r w:rsidR="00FE7A0E" w:rsidRPr="00477CFC">
        <w:rPr>
          <w:rFonts w:ascii="Arial" w:hAnsi="Arial" w:cs="Arial"/>
        </w:rPr>
        <w:t xml:space="preserve"> in 2003 was eligible.  Only </w:t>
      </w:r>
      <w:r w:rsidR="004363C3" w:rsidRPr="00477CFC">
        <w:rPr>
          <w:rFonts w:ascii="Arial" w:hAnsi="Arial" w:cs="Arial"/>
        </w:rPr>
        <w:t>8.2</w:t>
      </w:r>
      <w:r w:rsidR="00FE7A0E" w:rsidRPr="00477CFC">
        <w:rPr>
          <w:rFonts w:ascii="Arial" w:hAnsi="Arial" w:cs="Arial"/>
        </w:rPr>
        <w:t xml:space="preserve"> percent of the cohort that attained age 30</w:t>
      </w:r>
      <w:r w:rsidR="004363C3" w:rsidRPr="00477CFC">
        <w:rPr>
          <w:rFonts w:ascii="Arial" w:hAnsi="Arial" w:cs="Arial"/>
        </w:rPr>
        <w:t>-34</w:t>
      </w:r>
      <w:r w:rsidR="00FE7A0E" w:rsidRPr="00477CFC">
        <w:rPr>
          <w:rFonts w:ascii="Arial" w:hAnsi="Arial" w:cs="Arial"/>
        </w:rPr>
        <w:t xml:space="preserve"> in 1984 participated in a 401(k) plan</w:t>
      </w:r>
      <w:r w:rsidR="00B04951" w:rsidRPr="00477CFC">
        <w:rPr>
          <w:rFonts w:ascii="Arial" w:hAnsi="Arial" w:cs="Arial"/>
        </w:rPr>
        <w:t xml:space="preserve">, but </w:t>
      </w:r>
      <w:r w:rsidR="004363C3" w:rsidRPr="00477CFC">
        <w:rPr>
          <w:rFonts w:ascii="Arial" w:hAnsi="Arial" w:cs="Arial"/>
        </w:rPr>
        <w:t>5</w:t>
      </w:r>
      <w:r w:rsidR="00FE7A0E" w:rsidRPr="00477CFC">
        <w:rPr>
          <w:rFonts w:ascii="Arial" w:hAnsi="Arial" w:cs="Arial"/>
        </w:rPr>
        <w:t xml:space="preserve">3.9 percent of </w:t>
      </w:r>
      <w:r w:rsidR="004363C3" w:rsidRPr="00477CFC">
        <w:rPr>
          <w:rFonts w:ascii="Arial" w:hAnsi="Arial" w:cs="Arial"/>
        </w:rPr>
        <w:t>the cohort that attained this age</w:t>
      </w:r>
      <w:r w:rsidR="00270966" w:rsidRPr="00477CFC">
        <w:rPr>
          <w:rFonts w:ascii="Arial" w:hAnsi="Arial" w:cs="Arial"/>
        </w:rPr>
        <w:t xml:space="preserve"> </w:t>
      </w:r>
      <w:r w:rsidR="00FE7A0E" w:rsidRPr="00477CFC">
        <w:rPr>
          <w:rFonts w:ascii="Arial" w:hAnsi="Arial" w:cs="Arial"/>
        </w:rPr>
        <w:t xml:space="preserve">by 2003 </w:t>
      </w:r>
      <w:r w:rsidR="003B6669" w:rsidRPr="00477CFC">
        <w:rPr>
          <w:rFonts w:ascii="Arial" w:hAnsi="Arial" w:cs="Arial"/>
        </w:rPr>
        <w:t>participated</w:t>
      </w:r>
      <w:r w:rsidR="00B04951" w:rsidRPr="00477CFC">
        <w:rPr>
          <w:rFonts w:ascii="Arial" w:hAnsi="Arial" w:cs="Arial"/>
        </w:rPr>
        <w:t>.</w:t>
      </w:r>
      <w:r w:rsidR="00B04951" w:rsidRPr="00477CFC">
        <w:rPr>
          <w:rFonts w:ascii="Arial" w:hAnsi="Arial" w:cs="Arial"/>
          <w:color w:val="FF0000"/>
        </w:rPr>
        <w:t xml:space="preserve">  </w:t>
      </w:r>
    </w:p>
    <w:p w:rsidR="00EE0FCF" w:rsidRPr="00477CFC" w:rsidRDefault="00EE0FCF"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p>
    <w:p w:rsidR="00FE7A0E" w:rsidRPr="00477CFC" w:rsidRDefault="00FE7A0E" w:rsidP="00AE6D70">
      <w:pPr>
        <w:tabs>
          <w:tab w:val="left" w:pos="-180"/>
          <w:tab w:val="left" w:pos="720"/>
          <w:tab w:val="left" w:pos="1080"/>
          <w:tab w:val="left" w:pos="1440"/>
          <w:tab w:val="left" w:pos="1800"/>
          <w:tab w:val="left" w:pos="2160"/>
          <w:tab w:val="left" w:pos="2520"/>
          <w:tab w:val="left" w:pos="2880"/>
        </w:tabs>
        <w:rPr>
          <w:rFonts w:ascii="Arial" w:hAnsi="Arial" w:cs="Arial"/>
          <w:b/>
        </w:rPr>
      </w:pPr>
      <w:r w:rsidRPr="00477CFC">
        <w:rPr>
          <w:rFonts w:ascii="Arial" w:hAnsi="Arial" w:cs="Arial"/>
          <w:b/>
        </w:rPr>
        <w:tab/>
      </w:r>
      <w:r w:rsidRPr="00477CFC">
        <w:rPr>
          <w:rFonts w:ascii="Arial" w:hAnsi="Arial" w:cs="Arial"/>
        </w:rPr>
        <w:t xml:space="preserve">The table also shows the percent of those eligible who participated in 1984 and 2003.  For each age, the participation rate given eligibility increased very substantially over this period.  For example, in 1984, </w:t>
      </w:r>
      <w:r w:rsidR="00D22849" w:rsidRPr="00477CFC">
        <w:rPr>
          <w:rFonts w:ascii="Arial" w:hAnsi="Arial" w:cs="Arial"/>
        </w:rPr>
        <w:t>55.5</w:t>
      </w:r>
      <w:r w:rsidRPr="00477CFC">
        <w:rPr>
          <w:rFonts w:ascii="Arial" w:hAnsi="Arial" w:cs="Arial"/>
        </w:rPr>
        <w:t xml:space="preserve"> percent of </w:t>
      </w:r>
      <w:r w:rsidR="003B6669" w:rsidRPr="00477CFC">
        <w:rPr>
          <w:rFonts w:ascii="Arial" w:hAnsi="Arial" w:cs="Arial"/>
        </w:rPr>
        <w:t xml:space="preserve">eligible </w:t>
      </w:r>
      <w:r w:rsidR="00704CC8" w:rsidRPr="00477CFC">
        <w:rPr>
          <w:rFonts w:ascii="Arial" w:hAnsi="Arial" w:cs="Arial"/>
        </w:rPr>
        <w:t>families</w:t>
      </w:r>
      <w:r w:rsidR="00D22849" w:rsidRPr="00477CFC">
        <w:rPr>
          <w:rFonts w:ascii="Arial" w:hAnsi="Arial" w:cs="Arial"/>
        </w:rPr>
        <w:t xml:space="preserve"> </w:t>
      </w:r>
      <w:r w:rsidR="003B6669" w:rsidRPr="00477CFC">
        <w:rPr>
          <w:rFonts w:ascii="Arial" w:hAnsi="Arial" w:cs="Arial"/>
        </w:rPr>
        <w:t xml:space="preserve">with heads </w:t>
      </w:r>
      <w:r w:rsidR="00D22849" w:rsidRPr="00477CFC">
        <w:rPr>
          <w:rFonts w:ascii="Arial" w:hAnsi="Arial" w:cs="Arial"/>
        </w:rPr>
        <w:t>age</w:t>
      </w:r>
      <w:r w:rsidR="003B6669" w:rsidRPr="00477CFC">
        <w:rPr>
          <w:rFonts w:ascii="Arial" w:hAnsi="Arial" w:cs="Arial"/>
        </w:rPr>
        <w:t>d</w:t>
      </w:r>
      <w:r w:rsidR="00D22849" w:rsidRPr="00477CFC">
        <w:rPr>
          <w:rFonts w:ascii="Arial" w:hAnsi="Arial" w:cs="Arial"/>
        </w:rPr>
        <w:t xml:space="preserve"> 30-34 </w:t>
      </w:r>
      <w:r w:rsidRPr="00477CFC">
        <w:rPr>
          <w:rFonts w:ascii="Arial" w:hAnsi="Arial" w:cs="Arial"/>
        </w:rPr>
        <w:t>participated</w:t>
      </w:r>
      <w:r w:rsidR="003B6669" w:rsidRPr="00477CFC">
        <w:rPr>
          <w:rFonts w:ascii="Arial" w:hAnsi="Arial" w:cs="Arial"/>
        </w:rPr>
        <w:t xml:space="preserve"> in a 401(k) plan.  By 2003, 80.7 percent of those who were eligible also participated.  Of families with heads aged</w:t>
      </w:r>
      <w:r w:rsidRPr="00477CFC">
        <w:rPr>
          <w:rFonts w:ascii="Arial" w:hAnsi="Arial" w:cs="Arial"/>
        </w:rPr>
        <w:t xml:space="preserve"> 45</w:t>
      </w:r>
      <w:r w:rsidR="00D22849" w:rsidRPr="00477CFC">
        <w:rPr>
          <w:rFonts w:ascii="Arial" w:hAnsi="Arial" w:cs="Arial"/>
        </w:rPr>
        <w:t>-49</w:t>
      </w:r>
      <w:r w:rsidRPr="00477CFC">
        <w:rPr>
          <w:rFonts w:ascii="Arial" w:hAnsi="Arial" w:cs="Arial"/>
        </w:rPr>
        <w:t>, participation given eligibility increase</w:t>
      </w:r>
      <w:r w:rsidR="00C47849" w:rsidRPr="00477CFC">
        <w:rPr>
          <w:rFonts w:ascii="Arial" w:hAnsi="Arial" w:cs="Arial"/>
        </w:rPr>
        <w:t>d</w:t>
      </w:r>
      <w:r w:rsidRPr="00477CFC">
        <w:rPr>
          <w:rFonts w:ascii="Arial" w:hAnsi="Arial" w:cs="Arial"/>
        </w:rPr>
        <w:t xml:space="preserve"> from </w:t>
      </w:r>
      <w:r w:rsidR="00D22849" w:rsidRPr="00477CFC">
        <w:rPr>
          <w:rFonts w:ascii="Arial" w:hAnsi="Arial" w:cs="Arial"/>
        </w:rPr>
        <w:t>68.6</w:t>
      </w:r>
      <w:r w:rsidRPr="00477CFC">
        <w:rPr>
          <w:rFonts w:ascii="Arial" w:hAnsi="Arial" w:cs="Arial"/>
        </w:rPr>
        <w:t xml:space="preserve"> percent to </w:t>
      </w:r>
      <w:r w:rsidR="00D22849" w:rsidRPr="00477CFC">
        <w:rPr>
          <w:rFonts w:ascii="Arial" w:hAnsi="Arial" w:cs="Arial"/>
        </w:rPr>
        <w:t>85.9</w:t>
      </w:r>
      <w:r w:rsidRPr="00477CFC">
        <w:rPr>
          <w:rFonts w:ascii="Arial" w:hAnsi="Arial" w:cs="Arial"/>
        </w:rPr>
        <w:t xml:space="preserve"> percent between 1984 and 2003.</w:t>
      </w:r>
      <w:r w:rsidRPr="00477CFC">
        <w:rPr>
          <w:rFonts w:ascii="Arial" w:hAnsi="Arial" w:cs="Arial"/>
          <w:b/>
        </w:rPr>
        <w:t xml:space="preserve"> </w:t>
      </w:r>
    </w:p>
    <w:p w:rsidR="00E86132" w:rsidRPr="00477CFC" w:rsidRDefault="00E86132" w:rsidP="00AE6D70">
      <w:pPr>
        <w:tabs>
          <w:tab w:val="left" w:pos="-180"/>
          <w:tab w:val="left" w:pos="720"/>
          <w:tab w:val="left" w:pos="1080"/>
          <w:tab w:val="left" w:pos="1440"/>
          <w:tab w:val="left" w:pos="1800"/>
          <w:tab w:val="left" w:pos="2160"/>
          <w:tab w:val="left" w:pos="2520"/>
          <w:tab w:val="left" w:pos="2880"/>
        </w:tabs>
        <w:rPr>
          <w:rFonts w:ascii="Arial" w:hAnsi="Arial" w:cs="Arial"/>
          <w:b/>
        </w:rPr>
      </w:pPr>
    </w:p>
    <w:p w:rsidR="00B83EEF" w:rsidRPr="00477CFC" w:rsidRDefault="00AF2C36" w:rsidP="00AE6D70">
      <w:pPr>
        <w:tabs>
          <w:tab w:val="left" w:pos="-180"/>
          <w:tab w:val="left" w:pos="720"/>
          <w:tab w:val="left" w:pos="1080"/>
          <w:tab w:val="left" w:pos="1440"/>
          <w:tab w:val="left" w:pos="1800"/>
          <w:tab w:val="left" w:pos="2160"/>
          <w:tab w:val="left" w:pos="2520"/>
          <w:tab w:val="left" w:pos="2880"/>
        </w:tabs>
        <w:ind w:left="1080"/>
        <w:rPr>
          <w:rFonts w:ascii="Arial" w:hAnsi="Arial" w:cs="Arial"/>
          <w:b/>
        </w:rPr>
      </w:pPr>
      <w:r>
        <w:rPr>
          <w:noProof/>
        </w:rPr>
        <w:lastRenderedPageBreak/>
        <w:drawing>
          <wp:inline distT="0" distB="0" distL="0" distR="0">
            <wp:extent cx="3818255" cy="2653030"/>
            <wp:effectExtent l="0" t="0" r="0" b="0"/>
            <wp:docPr id="7" name="Picture 7" descr="Table 1-1 Family eligibility and participation rates by year attained selected ages (in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 1-1 Family eligibility and participation rates by year attained selected ages (in perc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8255" cy="2653030"/>
                    </a:xfrm>
                    <a:prstGeom prst="rect">
                      <a:avLst/>
                    </a:prstGeom>
                    <a:noFill/>
                    <a:ln>
                      <a:noFill/>
                    </a:ln>
                  </pic:spPr>
                </pic:pic>
              </a:graphicData>
            </a:graphic>
          </wp:inline>
        </w:drawing>
      </w:r>
    </w:p>
    <w:p w:rsidR="00EE0FCF" w:rsidRPr="00477CFC" w:rsidRDefault="00EE0FCF" w:rsidP="00AE6D70">
      <w:pPr>
        <w:tabs>
          <w:tab w:val="left" w:pos="-180"/>
          <w:tab w:val="left" w:pos="720"/>
          <w:tab w:val="left" w:pos="1080"/>
          <w:tab w:val="left" w:pos="1440"/>
          <w:tab w:val="left" w:pos="1800"/>
          <w:tab w:val="left" w:pos="2160"/>
          <w:tab w:val="left" w:pos="2520"/>
          <w:tab w:val="left" w:pos="2880"/>
        </w:tabs>
        <w:rPr>
          <w:rFonts w:ascii="Arial" w:hAnsi="Arial" w:cs="Arial"/>
          <w:b/>
        </w:rPr>
      </w:pPr>
    </w:p>
    <w:p w:rsidR="00704CC8" w:rsidRPr="00477CFC" w:rsidRDefault="00704CC8"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b/>
        </w:rPr>
        <w:tab/>
      </w:r>
      <w:r w:rsidRPr="00477CFC">
        <w:rPr>
          <w:rFonts w:ascii="Arial" w:hAnsi="Arial" w:cs="Arial"/>
        </w:rPr>
        <w:t xml:space="preserve">More detail on participation given eligibility is shown in Figure </w:t>
      </w:r>
      <w:r w:rsidR="003B6669" w:rsidRPr="00477CFC">
        <w:rPr>
          <w:rFonts w:ascii="Arial" w:hAnsi="Arial" w:cs="Arial"/>
        </w:rPr>
        <w:t>1-</w:t>
      </w:r>
      <w:r w:rsidRPr="00477CFC">
        <w:rPr>
          <w:rFonts w:ascii="Arial" w:hAnsi="Arial" w:cs="Arial"/>
        </w:rPr>
        <w:t>3.  The figure shows that</w:t>
      </w:r>
      <w:r w:rsidR="00047F36" w:rsidRPr="00477CFC">
        <w:rPr>
          <w:rFonts w:ascii="Arial" w:hAnsi="Arial" w:cs="Arial"/>
        </w:rPr>
        <w:t>,</w:t>
      </w:r>
      <w:r w:rsidRPr="00477CFC">
        <w:rPr>
          <w:rFonts w:ascii="Arial" w:hAnsi="Arial" w:cs="Arial"/>
        </w:rPr>
        <w:t xml:space="preserve"> given eligibility</w:t>
      </w:r>
      <w:r w:rsidR="00047F36" w:rsidRPr="00477CFC">
        <w:rPr>
          <w:rFonts w:ascii="Arial" w:hAnsi="Arial" w:cs="Arial"/>
        </w:rPr>
        <w:t>,</w:t>
      </w:r>
      <w:r w:rsidRPr="00477CFC">
        <w:rPr>
          <w:rFonts w:ascii="Arial" w:hAnsi="Arial" w:cs="Arial"/>
        </w:rPr>
        <w:t xml:space="preserve"> the participation rate</w:t>
      </w:r>
      <w:r w:rsidR="00FB635B" w:rsidRPr="00477CFC">
        <w:rPr>
          <w:rFonts w:ascii="Arial" w:hAnsi="Arial" w:cs="Arial"/>
        </w:rPr>
        <w:t xml:space="preserve"> increased between 1984 and 2003 for all age groups, </w:t>
      </w:r>
      <w:r w:rsidRPr="00477CFC">
        <w:rPr>
          <w:rFonts w:ascii="Arial" w:hAnsi="Arial" w:cs="Arial"/>
        </w:rPr>
        <w:t>especially for younger age</w:t>
      </w:r>
      <w:r w:rsidR="00FB635B" w:rsidRPr="00477CFC">
        <w:rPr>
          <w:rFonts w:ascii="Arial" w:hAnsi="Arial" w:cs="Arial"/>
        </w:rPr>
        <w:t xml:space="preserve"> groups</w:t>
      </w:r>
      <w:r w:rsidR="00544E43" w:rsidRPr="00477CFC">
        <w:rPr>
          <w:rFonts w:ascii="Arial" w:hAnsi="Arial" w:cs="Arial"/>
          <w:strike/>
        </w:rPr>
        <w:t>.</w:t>
      </w:r>
      <w:r w:rsidR="00E14709" w:rsidRPr="00477CFC">
        <w:rPr>
          <w:rFonts w:ascii="Arial" w:hAnsi="Arial" w:cs="Arial"/>
        </w:rPr>
        <w:t xml:space="preserve">  The</w:t>
      </w:r>
      <w:r w:rsidR="00A002B8" w:rsidRPr="00477CFC">
        <w:rPr>
          <w:rFonts w:ascii="Arial" w:hAnsi="Arial" w:cs="Arial"/>
        </w:rPr>
        <w:t xml:space="preserve"> figure </w:t>
      </w:r>
      <w:r w:rsidR="00B83EEF" w:rsidRPr="00477CFC">
        <w:rPr>
          <w:rFonts w:ascii="Arial" w:hAnsi="Arial" w:cs="Arial"/>
        </w:rPr>
        <w:t xml:space="preserve">also </w:t>
      </w:r>
      <w:r w:rsidR="00A002B8" w:rsidRPr="00477CFC">
        <w:rPr>
          <w:rFonts w:ascii="Arial" w:hAnsi="Arial" w:cs="Arial"/>
        </w:rPr>
        <w:t>shows that in 2003 the participation rate given eligibility was about the same</w:t>
      </w:r>
      <w:r w:rsidR="00252A54" w:rsidRPr="00477CFC">
        <w:rPr>
          <w:rFonts w:ascii="Arial" w:hAnsi="Arial" w:cs="Arial"/>
        </w:rPr>
        <w:t xml:space="preserve"> (80 percent)</w:t>
      </w:r>
      <w:r w:rsidR="00A002B8" w:rsidRPr="00477CFC">
        <w:rPr>
          <w:rFonts w:ascii="Arial" w:hAnsi="Arial" w:cs="Arial"/>
        </w:rPr>
        <w:t xml:space="preserve"> for </w:t>
      </w:r>
      <w:r w:rsidR="00252A54" w:rsidRPr="00477CFC">
        <w:rPr>
          <w:rFonts w:ascii="Arial" w:hAnsi="Arial" w:cs="Arial"/>
        </w:rPr>
        <w:t>each of the age intervals from 40-44 to 60-64.  The data</w:t>
      </w:r>
      <w:r w:rsidR="00E41A91" w:rsidRPr="00477CFC">
        <w:rPr>
          <w:rFonts w:ascii="Arial" w:hAnsi="Arial" w:cs="Arial"/>
        </w:rPr>
        <w:t xml:space="preserve"> </w:t>
      </w:r>
      <w:r w:rsidR="00252A54" w:rsidRPr="00477CFC">
        <w:rPr>
          <w:rFonts w:ascii="Arial" w:hAnsi="Arial" w:cs="Arial"/>
        </w:rPr>
        <w:t>also suggest</w:t>
      </w:r>
      <w:r w:rsidR="00E41A91" w:rsidRPr="00477CFC">
        <w:rPr>
          <w:rFonts w:ascii="Arial" w:hAnsi="Arial" w:cs="Arial"/>
        </w:rPr>
        <w:t xml:space="preserve"> </w:t>
      </w:r>
      <w:r w:rsidR="00B83EEF" w:rsidRPr="00477CFC">
        <w:rPr>
          <w:rFonts w:ascii="Arial" w:hAnsi="Arial" w:cs="Arial"/>
        </w:rPr>
        <w:t xml:space="preserve">that </w:t>
      </w:r>
      <w:r w:rsidR="00252A54" w:rsidRPr="00477CFC">
        <w:rPr>
          <w:rFonts w:ascii="Arial" w:hAnsi="Arial" w:cs="Arial"/>
        </w:rPr>
        <w:t>participation</w:t>
      </w:r>
      <w:r w:rsidR="00E41A91" w:rsidRPr="00477CFC">
        <w:rPr>
          <w:rFonts w:ascii="Arial" w:hAnsi="Arial" w:cs="Arial"/>
        </w:rPr>
        <w:t xml:space="preserve"> rates</w:t>
      </w:r>
      <w:r w:rsidR="00252A54" w:rsidRPr="00477CFC">
        <w:rPr>
          <w:rFonts w:ascii="Arial" w:hAnsi="Arial" w:cs="Arial"/>
        </w:rPr>
        <w:t xml:space="preserve"> given eligibility </w:t>
      </w:r>
      <w:r w:rsidR="00CB7F66" w:rsidRPr="00477CFC">
        <w:rPr>
          <w:rFonts w:ascii="Arial" w:hAnsi="Arial" w:cs="Arial"/>
        </w:rPr>
        <w:t xml:space="preserve">are higher for </w:t>
      </w:r>
      <w:r w:rsidR="00252A54" w:rsidRPr="00477CFC">
        <w:rPr>
          <w:rFonts w:ascii="Arial" w:hAnsi="Arial" w:cs="Arial"/>
        </w:rPr>
        <w:t xml:space="preserve">younger cohorts.  </w:t>
      </w:r>
    </w:p>
    <w:p w:rsidR="00704CC8"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drawing>
          <wp:inline distT="0" distB="0" distL="0" distR="0">
            <wp:extent cx="5486400" cy="3738245"/>
            <wp:effectExtent l="0" t="0" r="0" b="0"/>
            <wp:docPr id="8" name="Picture 8" descr="Figure 1-3 Partcipaton percent given eligibility by age, 1984 and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1-3 Partcipaton percent given eligibility by age, 1984 and 20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FE7A0E" w:rsidRPr="00477CFC" w:rsidRDefault="009B0103"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b/>
        </w:rPr>
        <w:tab/>
      </w:r>
      <w:r w:rsidRPr="00477CFC">
        <w:rPr>
          <w:rFonts w:ascii="Arial" w:hAnsi="Arial" w:cs="Arial"/>
        </w:rPr>
        <w:t>The rapid spread of 401(k) eligibility and participation</w:t>
      </w:r>
      <w:r w:rsidR="00CB7F66" w:rsidRPr="00477CFC">
        <w:rPr>
          <w:rFonts w:ascii="Arial" w:hAnsi="Arial" w:cs="Arial"/>
        </w:rPr>
        <w:t xml:space="preserve"> rates</w:t>
      </w:r>
      <w:r w:rsidRPr="00477CFC">
        <w:rPr>
          <w:rFonts w:ascii="Arial" w:hAnsi="Arial" w:cs="Arial"/>
        </w:rPr>
        <w:t xml:space="preserve"> has resulted in very rapid </w:t>
      </w:r>
      <w:r w:rsidR="00CB7F66" w:rsidRPr="00477CFC">
        <w:rPr>
          <w:rFonts w:ascii="Arial" w:hAnsi="Arial" w:cs="Arial"/>
        </w:rPr>
        <w:t xml:space="preserve">growth </w:t>
      </w:r>
      <w:r w:rsidRPr="00477CFC">
        <w:rPr>
          <w:rFonts w:ascii="Arial" w:hAnsi="Arial" w:cs="Arial"/>
        </w:rPr>
        <w:t>in aggregate contributions to 401(k) plans.</w:t>
      </w:r>
      <w:r w:rsidR="0038189F" w:rsidRPr="00477CFC">
        <w:rPr>
          <w:rFonts w:ascii="Arial" w:hAnsi="Arial" w:cs="Arial"/>
        </w:rPr>
        <w:t xml:space="preserve">  </w:t>
      </w:r>
      <w:r w:rsidRPr="00477CFC">
        <w:rPr>
          <w:rFonts w:ascii="Arial" w:hAnsi="Arial" w:cs="Arial"/>
        </w:rPr>
        <w:t xml:space="preserve">Figure </w:t>
      </w:r>
      <w:r w:rsidR="003B6669" w:rsidRPr="00477CFC">
        <w:rPr>
          <w:rFonts w:ascii="Arial" w:hAnsi="Arial" w:cs="Arial"/>
        </w:rPr>
        <w:t>1-</w:t>
      </w:r>
      <w:r w:rsidRPr="00477CFC">
        <w:rPr>
          <w:rFonts w:ascii="Arial" w:hAnsi="Arial" w:cs="Arial"/>
        </w:rPr>
        <w:t xml:space="preserve">4 shows </w:t>
      </w:r>
      <w:r w:rsidR="006107CC" w:rsidRPr="00477CFC">
        <w:rPr>
          <w:rFonts w:ascii="Arial" w:hAnsi="Arial" w:cs="Arial"/>
        </w:rPr>
        <w:t xml:space="preserve">contributions to 401(k) plans and, for comparison, to all other private pension </w:t>
      </w:r>
      <w:r w:rsidR="006107CC" w:rsidRPr="00477CFC">
        <w:rPr>
          <w:rFonts w:ascii="Arial" w:hAnsi="Arial" w:cs="Arial"/>
        </w:rPr>
        <w:lastRenderedPageBreak/>
        <w:t xml:space="preserve">plans from 1975 to </w:t>
      </w:r>
      <w:r w:rsidR="00FC3E78" w:rsidRPr="00477CFC">
        <w:rPr>
          <w:rFonts w:ascii="Arial" w:hAnsi="Arial" w:cs="Arial"/>
        </w:rPr>
        <w:t>2002</w:t>
      </w:r>
      <w:r w:rsidR="006107CC" w:rsidRPr="00477CFC">
        <w:rPr>
          <w:rFonts w:ascii="Arial" w:hAnsi="Arial" w:cs="Arial"/>
        </w:rPr>
        <w:t>.</w:t>
      </w:r>
      <w:r w:rsidR="00CE202E" w:rsidRPr="00477CFC">
        <w:rPr>
          <w:rStyle w:val="FootnoteReference"/>
          <w:rFonts w:ascii="Arial" w:hAnsi="Arial" w:cs="Arial"/>
        </w:rPr>
        <w:footnoteReference w:id="2"/>
      </w:r>
      <w:r w:rsidR="006107CC" w:rsidRPr="00477CFC">
        <w:rPr>
          <w:rFonts w:ascii="Arial" w:hAnsi="Arial" w:cs="Arial"/>
        </w:rPr>
        <w:t xml:space="preserve">  Contributions to 401(k) plans are shown by the </w:t>
      </w:r>
      <w:r w:rsidR="00CE202E" w:rsidRPr="00477CFC">
        <w:rPr>
          <w:rFonts w:ascii="Arial" w:hAnsi="Arial" w:cs="Arial"/>
        </w:rPr>
        <w:t xml:space="preserve">lined </w:t>
      </w:r>
      <w:r w:rsidR="006107CC" w:rsidRPr="00477CFC">
        <w:rPr>
          <w:rFonts w:ascii="Arial" w:hAnsi="Arial" w:cs="Arial"/>
        </w:rPr>
        <w:t xml:space="preserve">bars.   Contributions to 401(k) plans were first made in 1982.  By </w:t>
      </w:r>
      <w:r w:rsidR="00FC3E78" w:rsidRPr="00477CFC">
        <w:rPr>
          <w:rFonts w:ascii="Arial" w:hAnsi="Arial" w:cs="Arial"/>
        </w:rPr>
        <w:t>2000</w:t>
      </w:r>
      <w:r w:rsidR="003B6669" w:rsidRPr="00477CFC">
        <w:rPr>
          <w:rFonts w:ascii="Arial" w:hAnsi="Arial" w:cs="Arial"/>
        </w:rPr>
        <w:t>,</w:t>
      </w:r>
      <w:r w:rsidR="006107CC" w:rsidRPr="00477CFC">
        <w:rPr>
          <w:rFonts w:ascii="Arial" w:hAnsi="Arial" w:cs="Arial"/>
        </w:rPr>
        <w:t xml:space="preserve"> total contributions to 401(k) </w:t>
      </w:r>
      <w:r w:rsidR="0038189F" w:rsidRPr="00477CFC">
        <w:rPr>
          <w:rFonts w:ascii="Arial" w:hAnsi="Arial" w:cs="Arial"/>
        </w:rPr>
        <w:t>plans had reached $</w:t>
      </w:r>
      <w:r w:rsidR="00DF2A04" w:rsidRPr="00477CFC">
        <w:rPr>
          <w:rFonts w:ascii="Arial" w:hAnsi="Arial" w:cs="Arial"/>
        </w:rPr>
        <w:t>1</w:t>
      </w:r>
      <w:r w:rsidR="00FC3E78" w:rsidRPr="00477CFC">
        <w:rPr>
          <w:rFonts w:ascii="Arial" w:hAnsi="Arial" w:cs="Arial"/>
        </w:rPr>
        <w:t>8</w:t>
      </w:r>
      <w:r w:rsidR="00DF2A04" w:rsidRPr="00477CFC">
        <w:rPr>
          <w:rFonts w:ascii="Arial" w:hAnsi="Arial" w:cs="Arial"/>
        </w:rPr>
        <w:t>2</w:t>
      </w:r>
      <w:r w:rsidR="00754E8D" w:rsidRPr="00477CFC">
        <w:rPr>
          <w:rFonts w:ascii="Arial" w:hAnsi="Arial" w:cs="Arial"/>
        </w:rPr>
        <w:t xml:space="preserve"> billion</w:t>
      </w:r>
      <w:r w:rsidR="00DF2A04" w:rsidRPr="00477CFC">
        <w:rPr>
          <w:rFonts w:ascii="Arial" w:hAnsi="Arial" w:cs="Arial"/>
        </w:rPr>
        <w:t xml:space="preserve"> and </w:t>
      </w:r>
      <w:r w:rsidR="0038189F" w:rsidRPr="00477CFC">
        <w:rPr>
          <w:rFonts w:ascii="Arial" w:hAnsi="Arial" w:cs="Arial"/>
        </w:rPr>
        <w:t xml:space="preserve">accounted for </w:t>
      </w:r>
      <w:r w:rsidR="00FC3E78" w:rsidRPr="00477CFC">
        <w:rPr>
          <w:rFonts w:ascii="Arial" w:hAnsi="Arial" w:cs="Arial"/>
        </w:rPr>
        <w:t>73</w:t>
      </w:r>
      <w:r w:rsidR="00DF2A04" w:rsidRPr="00477CFC">
        <w:rPr>
          <w:rFonts w:ascii="Arial" w:hAnsi="Arial" w:cs="Arial"/>
        </w:rPr>
        <w:t xml:space="preserve"> percent</w:t>
      </w:r>
      <w:r w:rsidR="0038189F" w:rsidRPr="00477CFC">
        <w:rPr>
          <w:rFonts w:ascii="Arial" w:hAnsi="Arial" w:cs="Arial"/>
        </w:rPr>
        <w:t xml:space="preserve"> of contributions to all private pension plans.</w:t>
      </w:r>
      <w:r w:rsidR="003F20A4" w:rsidRPr="00477CFC">
        <w:rPr>
          <w:rFonts w:ascii="Arial" w:hAnsi="Arial" w:cs="Arial"/>
        </w:rPr>
        <w:t xml:space="preserve">  Counting IRA, Keogh, </w:t>
      </w:r>
      <w:r w:rsidR="00D440AE" w:rsidRPr="00477CFC">
        <w:rPr>
          <w:rFonts w:ascii="Arial" w:hAnsi="Arial" w:cs="Arial"/>
        </w:rPr>
        <w:t xml:space="preserve">and </w:t>
      </w:r>
      <w:r w:rsidR="003F20A4" w:rsidRPr="00477CFC">
        <w:rPr>
          <w:rFonts w:ascii="Arial" w:hAnsi="Arial" w:cs="Arial"/>
        </w:rPr>
        <w:t>traditional employer provided non-401(k)</w:t>
      </w:r>
      <w:r w:rsidR="00D440AE" w:rsidRPr="00477CFC">
        <w:rPr>
          <w:rFonts w:ascii="Arial" w:hAnsi="Arial" w:cs="Arial"/>
        </w:rPr>
        <w:t xml:space="preserve"> DC</w:t>
      </w:r>
      <w:r w:rsidR="003F20A4" w:rsidRPr="00477CFC">
        <w:rPr>
          <w:rFonts w:ascii="Arial" w:hAnsi="Arial" w:cs="Arial"/>
        </w:rPr>
        <w:t xml:space="preserve"> plans, </w:t>
      </w:r>
      <w:r w:rsidR="00AC6A32" w:rsidRPr="00477CFC">
        <w:rPr>
          <w:rFonts w:ascii="Arial" w:hAnsi="Arial" w:cs="Arial"/>
        </w:rPr>
        <w:t>87</w:t>
      </w:r>
      <w:r w:rsidR="003F20A4" w:rsidRPr="00477CFC">
        <w:rPr>
          <w:rFonts w:ascii="Arial" w:hAnsi="Arial" w:cs="Arial"/>
        </w:rPr>
        <w:t xml:space="preserve"> percent of contributions were to personal accounts.</w:t>
      </w:r>
      <w:r w:rsidR="00FC3E78" w:rsidRPr="00477CFC">
        <w:rPr>
          <w:rFonts w:ascii="Arial" w:hAnsi="Arial" w:cs="Arial"/>
        </w:rPr>
        <w:t xml:space="preserve">  This percentage fell to 61 percent by 2002 because of unusually large DB </w:t>
      </w:r>
      <w:r w:rsidR="00FB635B" w:rsidRPr="00477CFC">
        <w:rPr>
          <w:rFonts w:ascii="Arial" w:hAnsi="Arial" w:cs="Arial"/>
        </w:rPr>
        <w:t xml:space="preserve">catch-up </w:t>
      </w:r>
      <w:r w:rsidR="00FC3E78" w:rsidRPr="00477CFC">
        <w:rPr>
          <w:rFonts w:ascii="Arial" w:hAnsi="Arial" w:cs="Arial"/>
        </w:rPr>
        <w:t>contributions triggered by the decline in the stock market.</w:t>
      </w:r>
    </w:p>
    <w:p w:rsidR="00505A85"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drawing>
          <wp:inline distT="0" distB="0" distL="0" distR="0">
            <wp:extent cx="5486400" cy="3738245"/>
            <wp:effectExtent l="0" t="0" r="0" b="0"/>
            <wp:docPr id="9" name="Picture 9" descr="Figure 1-4 Provate pension plan contributions, 1975-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1-4 Provate pension plan contributions, 1975-20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FB635B" w:rsidRPr="00477CFC" w:rsidRDefault="00FB635B"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981F2A" w:rsidRPr="00477CFC" w:rsidRDefault="0038189F"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 xml:space="preserve">The increase in total pension plan contributions between 1982 and </w:t>
      </w:r>
      <w:r w:rsidR="00FC3E78" w:rsidRPr="00477CFC">
        <w:rPr>
          <w:rFonts w:ascii="Arial" w:hAnsi="Arial" w:cs="Arial"/>
        </w:rPr>
        <w:t>2000</w:t>
      </w:r>
      <w:r w:rsidRPr="00477CFC">
        <w:rPr>
          <w:rFonts w:ascii="Arial" w:hAnsi="Arial" w:cs="Arial"/>
        </w:rPr>
        <w:t xml:space="preserve"> was accounted for almost entirely by the increase </w:t>
      </w:r>
      <w:r w:rsidR="00702419" w:rsidRPr="00477CFC">
        <w:rPr>
          <w:rFonts w:ascii="Arial" w:hAnsi="Arial" w:cs="Arial"/>
        </w:rPr>
        <w:t>in</w:t>
      </w:r>
      <w:r w:rsidRPr="00477CFC">
        <w:rPr>
          <w:rFonts w:ascii="Arial" w:hAnsi="Arial" w:cs="Arial"/>
        </w:rPr>
        <w:t xml:space="preserve"> </w:t>
      </w:r>
      <w:r w:rsidR="00702419" w:rsidRPr="00477CFC">
        <w:rPr>
          <w:rFonts w:ascii="Arial" w:hAnsi="Arial" w:cs="Arial"/>
        </w:rPr>
        <w:t>contributions to 401(k) plans.  Contributions to defined benefit (DB) plans fluctuated substantially over this period, but</w:t>
      </w:r>
      <w:r w:rsidR="00B83EEF" w:rsidRPr="00477CFC">
        <w:rPr>
          <w:rFonts w:ascii="Arial" w:hAnsi="Arial" w:cs="Arial"/>
        </w:rPr>
        <w:t xml:space="preserve"> were about $1</w:t>
      </w:r>
      <w:r w:rsidR="00FC3E78" w:rsidRPr="00477CFC">
        <w:rPr>
          <w:rFonts w:ascii="Arial" w:hAnsi="Arial" w:cs="Arial"/>
        </w:rPr>
        <w:t>5</w:t>
      </w:r>
      <w:r w:rsidR="00B83EEF" w:rsidRPr="00477CFC">
        <w:rPr>
          <w:rFonts w:ascii="Arial" w:hAnsi="Arial" w:cs="Arial"/>
        </w:rPr>
        <w:t xml:space="preserve"> billion, or 3</w:t>
      </w:r>
      <w:r w:rsidR="00FC3E78" w:rsidRPr="00477CFC">
        <w:rPr>
          <w:rFonts w:ascii="Arial" w:hAnsi="Arial" w:cs="Arial"/>
        </w:rPr>
        <w:t>1</w:t>
      </w:r>
      <w:r w:rsidR="00B83EEF" w:rsidRPr="00477CFC">
        <w:rPr>
          <w:rFonts w:ascii="Arial" w:hAnsi="Arial" w:cs="Arial"/>
        </w:rPr>
        <w:t xml:space="preserve"> percent, lower</w:t>
      </w:r>
      <w:r w:rsidR="00702419" w:rsidRPr="00477CFC">
        <w:rPr>
          <w:rFonts w:ascii="Arial" w:hAnsi="Arial" w:cs="Arial"/>
        </w:rPr>
        <w:t xml:space="preserve"> </w:t>
      </w:r>
      <w:r w:rsidR="00B83EEF" w:rsidRPr="00477CFC">
        <w:rPr>
          <w:rFonts w:ascii="Arial" w:hAnsi="Arial" w:cs="Arial"/>
        </w:rPr>
        <w:t xml:space="preserve">in </w:t>
      </w:r>
      <w:r w:rsidR="00FC3E78" w:rsidRPr="00477CFC">
        <w:rPr>
          <w:rFonts w:ascii="Arial" w:hAnsi="Arial" w:cs="Arial"/>
        </w:rPr>
        <w:t>2000</w:t>
      </w:r>
      <w:r w:rsidR="00B83EEF" w:rsidRPr="00477CFC">
        <w:rPr>
          <w:rFonts w:ascii="Arial" w:hAnsi="Arial" w:cs="Arial"/>
        </w:rPr>
        <w:t xml:space="preserve"> than in 1981</w:t>
      </w:r>
      <w:r w:rsidR="00FC3E78" w:rsidRPr="00477CFC">
        <w:rPr>
          <w:rFonts w:ascii="Arial" w:hAnsi="Arial" w:cs="Arial"/>
        </w:rPr>
        <w:t xml:space="preserve"> before increasing in 2001 and 2002 in response to the stock market decline</w:t>
      </w:r>
      <w:r w:rsidR="00B83EEF" w:rsidRPr="00477CFC">
        <w:rPr>
          <w:rFonts w:ascii="Arial" w:hAnsi="Arial" w:cs="Arial"/>
        </w:rPr>
        <w:t xml:space="preserve">.  </w:t>
      </w:r>
      <w:r w:rsidR="00702419" w:rsidRPr="00477CFC">
        <w:rPr>
          <w:rFonts w:ascii="Arial" w:hAnsi="Arial" w:cs="Arial"/>
        </w:rPr>
        <w:t>Contributions to non-401(k) defined contribution (DC) plans changed little between 198</w:t>
      </w:r>
      <w:r w:rsidR="00B83EEF" w:rsidRPr="00477CFC">
        <w:rPr>
          <w:rFonts w:ascii="Arial" w:hAnsi="Arial" w:cs="Arial"/>
        </w:rPr>
        <w:t>1</w:t>
      </w:r>
      <w:r w:rsidR="00702419" w:rsidRPr="00477CFC">
        <w:rPr>
          <w:rFonts w:ascii="Arial" w:hAnsi="Arial" w:cs="Arial"/>
        </w:rPr>
        <w:t xml:space="preserve"> and </w:t>
      </w:r>
      <w:r w:rsidR="009C12C6" w:rsidRPr="00477CFC">
        <w:rPr>
          <w:rFonts w:ascii="Arial" w:hAnsi="Arial" w:cs="Arial"/>
        </w:rPr>
        <w:t>2002</w:t>
      </w:r>
      <w:r w:rsidR="00702419" w:rsidRPr="00477CFC">
        <w:rPr>
          <w:rFonts w:ascii="Arial" w:hAnsi="Arial" w:cs="Arial"/>
        </w:rPr>
        <w:t>.   There was a substantial spike in IRA contributions in 1982 through 1986.  Thereafter IRA contributions fell b</w:t>
      </w:r>
      <w:r w:rsidR="00B83EEF" w:rsidRPr="00477CFC">
        <w:rPr>
          <w:rFonts w:ascii="Arial" w:hAnsi="Arial" w:cs="Arial"/>
        </w:rPr>
        <w:t>y</w:t>
      </w:r>
      <w:r w:rsidR="00702419" w:rsidRPr="00477CFC">
        <w:rPr>
          <w:rFonts w:ascii="Arial" w:hAnsi="Arial" w:cs="Arial"/>
        </w:rPr>
        <w:t xml:space="preserve"> about 75</w:t>
      </w:r>
      <w:r w:rsidR="00B83EEF" w:rsidRPr="00477CFC">
        <w:rPr>
          <w:rFonts w:ascii="Arial" w:hAnsi="Arial" w:cs="Arial"/>
        </w:rPr>
        <w:t xml:space="preserve"> percent</w:t>
      </w:r>
      <w:r w:rsidR="00702419" w:rsidRPr="00477CFC">
        <w:rPr>
          <w:rFonts w:ascii="Arial" w:hAnsi="Arial" w:cs="Arial"/>
        </w:rPr>
        <w:t>, when the tax advantage of IRA contributions was reduce</w:t>
      </w:r>
      <w:r w:rsidR="004A3246" w:rsidRPr="00477CFC">
        <w:rPr>
          <w:rFonts w:ascii="Arial" w:hAnsi="Arial" w:cs="Arial"/>
        </w:rPr>
        <w:t xml:space="preserve">d for </w:t>
      </w:r>
      <w:r w:rsidR="00702419" w:rsidRPr="00477CFC">
        <w:rPr>
          <w:rFonts w:ascii="Arial" w:hAnsi="Arial" w:cs="Arial"/>
        </w:rPr>
        <w:t>a small proportion of contributors</w:t>
      </w:r>
      <w:r w:rsidR="00596EF8" w:rsidRPr="00477CFC">
        <w:rPr>
          <w:rFonts w:ascii="Arial" w:hAnsi="Arial" w:cs="Arial"/>
        </w:rPr>
        <w:t xml:space="preserve">.  Since </w:t>
      </w:r>
      <w:r w:rsidR="00702419" w:rsidRPr="00477CFC">
        <w:rPr>
          <w:rFonts w:ascii="Arial" w:hAnsi="Arial" w:cs="Arial"/>
        </w:rPr>
        <w:t>1987</w:t>
      </w:r>
      <w:r w:rsidR="00596EF8" w:rsidRPr="00477CFC">
        <w:rPr>
          <w:rFonts w:ascii="Arial" w:hAnsi="Arial" w:cs="Arial"/>
        </w:rPr>
        <w:t xml:space="preserve">, </w:t>
      </w:r>
      <w:r w:rsidR="004A3246" w:rsidRPr="00477CFC">
        <w:rPr>
          <w:rFonts w:ascii="Arial" w:hAnsi="Arial" w:cs="Arial"/>
        </w:rPr>
        <w:t xml:space="preserve">the sum of </w:t>
      </w:r>
      <w:r w:rsidR="00702419" w:rsidRPr="00477CFC">
        <w:rPr>
          <w:rFonts w:ascii="Arial" w:hAnsi="Arial" w:cs="Arial"/>
        </w:rPr>
        <w:t>IRA and Keogh plan</w:t>
      </w:r>
      <w:r w:rsidR="004A3246" w:rsidRPr="00477CFC">
        <w:rPr>
          <w:rFonts w:ascii="Arial" w:hAnsi="Arial" w:cs="Arial"/>
        </w:rPr>
        <w:t xml:space="preserve"> contributions has </w:t>
      </w:r>
      <w:r w:rsidR="00C10F4F" w:rsidRPr="00477CFC">
        <w:rPr>
          <w:rFonts w:ascii="Arial" w:hAnsi="Arial" w:cs="Arial"/>
        </w:rPr>
        <w:t xml:space="preserve">changed </w:t>
      </w:r>
      <w:r w:rsidR="00596EF8" w:rsidRPr="00477CFC">
        <w:rPr>
          <w:rFonts w:ascii="Arial" w:hAnsi="Arial" w:cs="Arial"/>
        </w:rPr>
        <w:t xml:space="preserve">very </w:t>
      </w:r>
      <w:r w:rsidR="00C10F4F" w:rsidRPr="00477CFC">
        <w:rPr>
          <w:rFonts w:ascii="Arial" w:hAnsi="Arial" w:cs="Arial"/>
        </w:rPr>
        <w:t>little</w:t>
      </w:r>
      <w:r w:rsidR="00232D7B" w:rsidRPr="00477CFC">
        <w:rPr>
          <w:rFonts w:ascii="Arial" w:hAnsi="Arial" w:cs="Arial"/>
        </w:rPr>
        <w:t xml:space="preserve">.  </w:t>
      </w:r>
      <w:r w:rsidR="00596EF8" w:rsidRPr="00477CFC">
        <w:rPr>
          <w:rFonts w:ascii="Arial" w:hAnsi="Arial" w:cs="Arial"/>
        </w:rPr>
        <w:t>Most of the inflows to IRAs today are roll-overs of previous accumulations in defined contribution accounts, rather than traditional contributions.</w:t>
      </w:r>
    </w:p>
    <w:p w:rsidR="00AC6A32" w:rsidRPr="00477CFC" w:rsidRDefault="00AC6A32"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FE7A0E" w:rsidRPr="00477CFC" w:rsidRDefault="006D2236" w:rsidP="00AE6D70">
      <w:pPr>
        <w:tabs>
          <w:tab w:val="left" w:pos="-180"/>
          <w:tab w:val="left" w:pos="720"/>
          <w:tab w:val="left" w:pos="1080"/>
          <w:tab w:val="left" w:pos="1440"/>
          <w:tab w:val="left" w:pos="1800"/>
          <w:tab w:val="left" w:pos="2160"/>
          <w:tab w:val="left" w:pos="2520"/>
          <w:tab w:val="left" w:pos="2880"/>
        </w:tabs>
        <w:rPr>
          <w:rFonts w:ascii="Arial" w:hAnsi="Arial" w:cs="Arial"/>
          <w:b/>
        </w:rPr>
      </w:pPr>
      <w:r w:rsidRPr="00477CFC">
        <w:rPr>
          <w:rFonts w:ascii="Arial" w:hAnsi="Arial" w:cs="Arial"/>
          <w:b/>
        </w:rPr>
        <w:lastRenderedPageBreak/>
        <w:t>2</w:t>
      </w:r>
      <w:r w:rsidR="00AC6A32" w:rsidRPr="00477CFC">
        <w:rPr>
          <w:rFonts w:ascii="Arial" w:hAnsi="Arial" w:cs="Arial"/>
          <w:b/>
        </w:rPr>
        <w:t xml:space="preserve">. </w:t>
      </w:r>
      <w:r w:rsidR="000157F5" w:rsidRPr="00477CFC">
        <w:rPr>
          <w:rFonts w:ascii="Arial" w:hAnsi="Arial" w:cs="Arial"/>
          <w:b/>
        </w:rPr>
        <w:t xml:space="preserve"> Projecting Future 401(k) Contributions</w:t>
      </w:r>
    </w:p>
    <w:p w:rsidR="000D3724" w:rsidRPr="00477CFC" w:rsidRDefault="000D3724"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b/>
        </w:rPr>
        <w:tab/>
      </w:r>
      <w:r w:rsidR="00596EF8" w:rsidRPr="00477CFC">
        <w:rPr>
          <w:rFonts w:ascii="Arial" w:hAnsi="Arial" w:cs="Arial"/>
          <w:b/>
        </w:rPr>
        <w:t xml:space="preserve"> </w:t>
      </w:r>
    </w:p>
    <w:p w:rsidR="000F2162" w:rsidRPr="00477CFC" w:rsidRDefault="000F2162" w:rsidP="000F2162">
      <w:pPr>
        <w:rPr>
          <w:rFonts w:ascii="Arial" w:hAnsi="Arial" w:cs="Arial"/>
        </w:rPr>
      </w:pPr>
      <w:r w:rsidRPr="00477CFC">
        <w:rPr>
          <w:rFonts w:ascii="Arial" w:hAnsi="Arial" w:cs="Arial"/>
        </w:rPr>
        <w:tab/>
        <w:t>We first set out the calculations that are the basis for our projections of 401(k) wealth.  We denote persons by the subscript</w:t>
      </w:r>
      <w:r w:rsidR="005A3914" w:rsidRPr="00477CFC">
        <w:rPr>
          <w:rFonts w:ascii="Arial" w:hAnsi="Arial" w:cs="Arial"/>
          <w:position w:val="-6"/>
        </w:rPr>
        <w:object w:dxaOrig="1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ula" style="width:9.75pt;height:16.5pt" o:ole="" fillcolor="window">
            <v:imagedata r:id="rId20" o:title=""/>
          </v:shape>
          <o:OLEObject Type="Embed" ProgID="Equation.3" ShapeID="_x0000_i1025" DrawAspect="Content" ObjectID="_1533467639" r:id="rId21"/>
        </w:object>
      </w:r>
      <w:r w:rsidRPr="00477CFC">
        <w:rPr>
          <w:rFonts w:ascii="Arial" w:hAnsi="Arial" w:cs="Arial"/>
        </w:rPr>
        <w:t xml:space="preserve">.  Cohorts are denoted by subscript </w:t>
      </w:r>
      <w:r w:rsidR="005A3914" w:rsidRPr="00477CFC">
        <w:rPr>
          <w:rFonts w:ascii="Arial" w:hAnsi="Arial" w:cs="Arial"/>
          <w:position w:val="-6"/>
        </w:rPr>
        <w:object w:dxaOrig="180" w:dyaOrig="220">
          <v:shape id="_x0000_i1026" type="#_x0000_t75" alt="formula" style="width:12pt;height:14.25pt" o:ole="" fillcolor="window">
            <v:imagedata r:id="rId22" o:title=""/>
          </v:shape>
          <o:OLEObject Type="Embed" ProgID="Equation.3" ShapeID="_x0000_i1026" DrawAspect="Content" ObjectID="_1533467640" r:id="rId23"/>
        </w:object>
      </w:r>
      <w:r w:rsidRPr="00477CFC">
        <w:rPr>
          <w:rFonts w:ascii="Arial" w:hAnsi="Arial" w:cs="Arial"/>
        </w:rPr>
        <w:t xml:space="preserve">.  Associated with each person in each cohort is a lifetime earnings profile.  The earnings of person </w:t>
      </w:r>
      <w:r w:rsidR="005A3914" w:rsidRPr="00477CFC">
        <w:rPr>
          <w:rFonts w:ascii="Arial" w:hAnsi="Arial" w:cs="Arial"/>
          <w:position w:val="-6"/>
        </w:rPr>
        <w:object w:dxaOrig="139" w:dyaOrig="260">
          <v:shape id="_x0000_i1027" type="#_x0000_t75" alt="formula" style="width:9.75pt;height:16.5pt" o:ole="" fillcolor="window">
            <v:imagedata r:id="rId20" o:title=""/>
          </v:shape>
          <o:OLEObject Type="Embed" ProgID="Equation.3" ShapeID="_x0000_i1027" DrawAspect="Content" ObjectID="_1533467641" r:id="rId24"/>
        </w:object>
      </w:r>
      <w:r w:rsidRPr="00477CFC">
        <w:rPr>
          <w:rFonts w:ascii="Arial" w:hAnsi="Arial" w:cs="Arial"/>
        </w:rPr>
        <w:t xml:space="preserve">in cohort </w:t>
      </w:r>
      <w:r w:rsidR="005A3914" w:rsidRPr="00477CFC">
        <w:rPr>
          <w:rFonts w:ascii="Arial" w:hAnsi="Arial" w:cs="Arial"/>
          <w:position w:val="-6"/>
        </w:rPr>
        <w:object w:dxaOrig="180" w:dyaOrig="220">
          <v:shape id="_x0000_i1028" type="#_x0000_t75" alt="formula" style="width:12pt;height:14.25pt" o:ole="" fillcolor="window">
            <v:imagedata r:id="rId22" o:title=""/>
          </v:shape>
          <o:OLEObject Type="Embed" ProgID="Equation.3" ShapeID="_x0000_i1028" DrawAspect="Content" ObjectID="_1533467642" r:id="rId25"/>
        </w:object>
      </w:r>
      <w:r w:rsidRPr="00477CFC">
        <w:rPr>
          <w:rFonts w:ascii="Arial" w:hAnsi="Arial" w:cs="Arial"/>
        </w:rPr>
        <w:t xml:space="preserve"> at age </w:t>
      </w:r>
      <w:r w:rsidR="005A3914" w:rsidRPr="00477CFC">
        <w:rPr>
          <w:rFonts w:ascii="Arial" w:hAnsi="Arial" w:cs="Arial"/>
          <w:position w:val="-6"/>
        </w:rPr>
        <w:object w:dxaOrig="200" w:dyaOrig="220">
          <v:shape id="_x0000_i1029" type="#_x0000_t75" alt="formula" style="width:13.5pt;height:14.25pt" o:ole="" fillcolor="window">
            <v:imagedata r:id="rId26" o:title=""/>
          </v:shape>
          <o:OLEObject Type="Embed" ProgID="Equation.3" ShapeID="_x0000_i1029" DrawAspect="Content" ObjectID="_1533467643" r:id="rId27"/>
        </w:object>
      </w:r>
      <w:r w:rsidRPr="00477CFC">
        <w:rPr>
          <w:rFonts w:ascii="Arial" w:hAnsi="Arial" w:cs="Arial"/>
        </w:rPr>
        <w:t xml:space="preserve"> are denoted by</w:t>
      </w:r>
      <w:r w:rsidR="005A3914" w:rsidRPr="00477CFC">
        <w:rPr>
          <w:rFonts w:ascii="Arial" w:hAnsi="Arial" w:cs="Arial"/>
          <w:position w:val="-12"/>
        </w:rPr>
        <w:object w:dxaOrig="660" w:dyaOrig="360">
          <v:shape id="_x0000_i1030" type="#_x0000_t75" alt="formula" style="width:43.5pt;height:23.25pt" o:ole="" fillcolor="window">
            <v:imagedata r:id="rId28" o:title=""/>
          </v:shape>
          <o:OLEObject Type="Embed" ProgID="Equation.3" ShapeID="_x0000_i1030" DrawAspect="Content" ObjectID="_1533467644" r:id="rId29"/>
        </w:object>
      </w:r>
      <w:r w:rsidRPr="00477CFC">
        <w:rPr>
          <w:rFonts w:ascii="Arial" w:hAnsi="Arial" w:cs="Arial"/>
        </w:rPr>
        <w:t xml:space="preserve">.  The zero-one indicator that person </w:t>
      </w:r>
      <w:r w:rsidR="005A3914" w:rsidRPr="00477CFC">
        <w:rPr>
          <w:rFonts w:ascii="Arial" w:hAnsi="Arial" w:cs="Arial"/>
          <w:position w:val="-6"/>
        </w:rPr>
        <w:object w:dxaOrig="139" w:dyaOrig="260">
          <v:shape id="_x0000_i1031" type="#_x0000_t75" alt="formula" style="width:9pt;height:16.5pt" o:ole="" fillcolor="window">
            <v:imagedata r:id="rId20" o:title=""/>
          </v:shape>
          <o:OLEObject Type="Embed" ProgID="Equation.3" ShapeID="_x0000_i1031" DrawAspect="Content" ObjectID="_1533467645" r:id="rId30"/>
        </w:object>
      </w:r>
      <w:r w:rsidRPr="00477CFC">
        <w:rPr>
          <w:rFonts w:ascii="Arial" w:hAnsi="Arial" w:cs="Arial"/>
        </w:rPr>
        <w:t xml:space="preserve">in cohort </w:t>
      </w:r>
      <w:r w:rsidR="005A3914" w:rsidRPr="00477CFC">
        <w:rPr>
          <w:rFonts w:ascii="Arial" w:hAnsi="Arial" w:cs="Arial"/>
          <w:position w:val="-6"/>
        </w:rPr>
        <w:object w:dxaOrig="180" w:dyaOrig="220">
          <v:shape id="_x0000_i1032" type="#_x0000_t75" alt="formula" style="width:12pt;height:14.25pt" o:ole="" fillcolor="window">
            <v:imagedata r:id="rId22" o:title=""/>
          </v:shape>
          <o:OLEObject Type="Embed" ProgID="Equation.3" ShapeID="_x0000_i1032" DrawAspect="Content" ObjectID="_1533467646" r:id="rId31"/>
        </w:object>
      </w:r>
      <w:r w:rsidRPr="00477CFC">
        <w:rPr>
          <w:rFonts w:ascii="Arial" w:hAnsi="Arial" w:cs="Arial"/>
        </w:rPr>
        <w:t xml:space="preserve">participates in a 401(k) plan at age </w:t>
      </w:r>
      <w:r w:rsidR="005A3914" w:rsidRPr="00477CFC">
        <w:rPr>
          <w:rFonts w:ascii="Arial" w:hAnsi="Arial" w:cs="Arial"/>
          <w:position w:val="-6"/>
        </w:rPr>
        <w:object w:dxaOrig="200" w:dyaOrig="220">
          <v:shape id="_x0000_i1033" type="#_x0000_t75" alt="formula" style="width:13.5pt;height:14.25pt" o:ole="" fillcolor="window">
            <v:imagedata r:id="rId26" o:title=""/>
          </v:shape>
          <o:OLEObject Type="Embed" ProgID="Equation.3" ShapeID="_x0000_i1033" DrawAspect="Content" ObjectID="_1533467647" r:id="rId32"/>
        </w:object>
      </w:r>
      <w:r w:rsidRPr="00477CFC">
        <w:rPr>
          <w:rFonts w:ascii="Arial" w:hAnsi="Arial" w:cs="Arial"/>
        </w:rPr>
        <w:t>is denoted by</w:t>
      </w:r>
      <w:r w:rsidR="005A3914" w:rsidRPr="00477CFC">
        <w:rPr>
          <w:rFonts w:ascii="Arial" w:hAnsi="Arial" w:cs="Arial"/>
          <w:position w:val="-12"/>
        </w:rPr>
        <w:object w:dxaOrig="620" w:dyaOrig="360">
          <v:shape id="_x0000_i1034" type="#_x0000_t75" alt="formula" style="width:41.25pt;height:23.25pt" o:ole="" fillcolor="window">
            <v:imagedata r:id="rId33" o:title=""/>
          </v:shape>
          <o:OLEObject Type="Embed" ProgID="Equation.3" ShapeID="_x0000_i1034" DrawAspect="Content" ObjectID="_1533467648" r:id="rId34"/>
        </w:object>
      </w:r>
      <w:r w:rsidRPr="00477CFC">
        <w:rPr>
          <w:rFonts w:ascii="Arial" w:hAnsi="Arial" w:cs="Arial"/>
        </w:rPr>
        <w:t>, the rate of return earned on 401(k) assets that were held at the beginning of the year when the person attained age a is denoted by</w:t>
      </w:r>
      <w:r w:rsidR="005A3914" w:rsidRPr="00477CFC">
        <w:rPr>
          <w:rFonts w:ascii="Arial" w:hAnsi="Arial" w:cs="Arial"/>
          <w:position w:val="-12"/>
        </w:rPr>
        <w:object w:dxaOrig="639" w:dyaOrig="360">
          <v:shape id="_x0000_i1035" type="#_x0000_t75" alt="formula" style="width:42pt;height:23.25pt" o:ole="" fillcolor="window">
            <v:imagedata r:id="rId35" o:title=""/>
          </v:shape>
          <o:OLEObject Type="Embed" ProgID="Equation.3" ShapeID="_x0000_i1035" DrawAspect="Content" ObjectID="_1533467649" r:id="rId36"/>
        </w:object>
      </w:r>
      <w:r w:rsidRPr="00477CFC">
        <w:rPr>
          <w:rFonts w:ascii="Arial" w:hAnsi="Arial" w:cs="Arial"/>
        </w:rPr>
        <w:t>, and the contribution rate is denoted be</w:t>
      </w:r>
      <w:r w:rsidR="00071E58" w:rsidRPr="00477CFC">
        <w:rPr>
          <w:rFonts w:ascii="Arial" w:hAnsi="Arial" w:cs="Arial"/>
          <w:color w:val="FF0000"/>
        </w:rPr>
        <w:t xml:space="preserve"> </w:t>
      </w:r>
      <w:r w:rsidR="005A3914" w:rsidRPr="00477CFC">
        <w:rPr>
          <w:rFonts w:ascii="Arial" w:hAnsi="Arial" w:cs="Arial"/>
          <w:position w:val="-6"/>
        </w:rPr>
        <w:object w:dxaOrig="240" w:dyaOrig="279">
          <v:shape id="_x0000_i1036" type="#_x0000_t75" alt="formula" style="width:15.75pt;height:17.25pt" o:ole="" fillcolor="window">
            <v:imagedata r:id="rId37" o:title=""/>
          </v:shape>
          <o:OLEObject Type="Embed" ProgID="Equation.3" ShapeID="_x0000_i1036" DrawAspect="Content" ObjectID="_1533467650" r:id="rId38"/>
        </w:object>
      </w:r>
      <w:r w:rsidR="00C1117E" w:rsidRPr="00477CFC">
        <w:rPr>
          <w:rFonts w:ascii="Arial" w:hAnsi="Arial" w:cs="Arial"/>
        </w:rPr>
        <w:t xml:space="preserve"> </w:t>
      </w:r>
      <w:r w:rsidRPr="00477CFC">
        <w:rPr>
          <w:rFonts w:ascii="Arial" w:hAnsi="Arial" w:cs="Arial"/>
        </w:rPr>
        <w:t xml:space="preserve">(expressed as a proportion of earnings).  The value of the 401(k) assets held by person </w:t>
      </w:r>
      <w:r w:rsidR="00603C74" w:rsidRPr="00477CFC">
        <w:rPr>
          <w:rFonts w:ascii="Arial" w:hAnsi="Arial" w:cs="Arial"/>
          <w:position w:val="-6"/>
        </w:rPr>
        <w:object w:dxaOrig="139" w:dyaOrig="260">
          <v:shape id="_x0000_i1037" type="#_x0000_t75" alt="formula" style="width:9pt;height:16.5pt" o:ole="" fillcolor="window">
            <v:imagedata r:id="rId20" o:title=""/>
          </v:shape>
          <o:OLEObject Type="Embed" ProgID="Equation.3" ShapeID="_x0000_i1037" DrawAspect="Content" ObjectID="_1533467651" r:id="rId39"/>
        </w:object>
      </w:r>
      <w:r w:rsidRPr="00477CFC">
        <w:rPr>
          <w:rFonts w:ascii="Arial" w:hAnsi="Arial" w:cs="Arial"/>
        </w:rPr>
        <w:t xml:space="preserve"> in cohort c at age a is given by</w:t>
      </w:r>
    </w:p>
    <w:p w:rsidR="000F2162" w:rsidRPr="00477CFC" w:rsidRDefault="000F2162" w:rsidP="000F2162">
      <w:pPr>
        <w:rPr>
          <w:rFonts w:ascii="Arial" w:hAnsi="Arial" w:cs="Arial"/>
        </w:rPr>
      </w:pPr>
    </w:p>
    <w:p w:rsidR="000F2162" w:rsidRPr="00477CFC" w:rsidRDefault="000F2162" w:rsidP="000F2162">
      <w:pPr>
        <w:pStyle w:val="MTDisplayEquation"/>
        <w:tabs>
          <w:tab w:val="left" w:pos="720"/>
          <w:tab w:val="left" w:pos="1440"/>
        </w:tabs>
        <w:spacing w:line="240" w:lineRule="auto"/>
      </w:pPr>
      <w:r w:rsidRPr="00477CFC">
        <w:t>(1)</w:t>
      </w:r>
      <w:r w:rsidRPr="00477CFC">
        <w:tab/>
      </w:r>
      <w:r w:rsidRPr="00477CFC">
        <w:tab/>
      </w:r>
      <w:r w:rsidR="005A3914" w:rsidRPr="00477CFC">
        <w:rPr>
          <w:position w:val="-34"/>
        </w:rPr>
        <w:object w:dxaOrig="4000" w:dyaOrig="800">
          <v:shape id="_x0000_i1038" type="#_x0000_t75" alt="formula" style="width:260.25pt;height:51.75pt" o:ole="" fillcolor="window">
            <v:imagedata r:id="rId40" o:title=""/>
          </v:shape>
          <o:OLEObject Type="Embed" ProgID="Equation.3" ShapeID="_x0000_i1038" DrawAspect="Content" ObjectID="_1533467652" r:id="rId41"/>
        </w:object>
      </w:r>
    </w:p>
    <w:p w:rsidR="000F2162" w:rsidRPr="00477CFC" w:rsidRDefault="000F2162" w:rsidP="000F2162">
      <w:pPr>
        <w:rPr>
          <w:rFonts w:ascii="Arial" w:hAnsi="Arial" w:cs="Arial"/>
        </w:rPr>
      </w:pPr>
      <w:r w:rsidRPr="00477CFC">
        <w:rPr>
          <w:rFonts w:ascii="Arial" w:hAnsi="Arial" w:cs="Arial"/>
        </w:rPr>
        <w:t xml:space="preserve">where </w:t>
      </w:r>
      <w:r w:rsidR="005A3914" w:rsidRPr="00477CFC">
        <w:rPr>
          <w:rFonts w:ascii="Arial" w:hAnsi="Arial" w:cs="Arial"/>
          <w:position w:val="-12"/>
        </w:rPr>
        <w:object w:dxaOrig="3220" w:dyaOrig="360">
          <v:shape id="_x0000_i1039" type="#_x0000_t75" alt="formula" style="width:207pt;height:23.25pt" o:ole="" fillcolor="window">
            <v:imagedata r:id="rId42" o:title=""/>
          </v:shape>
          <o:OLEObject Type="Embed" ProgID="Equation.3" ShapeID="_x0000_i1039" DrawAspect="Content" ObjectID="_1533467653" r:id="rId43"/>
        </w:object>
      </w:r>
      <w:r w:rsidR="00FB12E4" w:rsidRPr="00477CFC">
        <w:rPr>
          <w:rFonts w:ascii="Arial" w:hAnsi="Arial" w:cs="Arial"/>
        </w:rPr>
        <w:t xml:space="preserve">and where </w:t>
      </w:r>
      <w:r w:rsidR="00603C74" w:rsidRPr="00477CFC">
        <w:rPr>
          <w:rFonts w:ascii="Arial" w:hAnsi="Arial" w:cs="Arial"/>
          <w:position w:val="-4"/>
        </w:rPr>
        <w:object w:dxaOrig="180" w:dyaOrig="200">
          <v:shape id="_x0000_i1040" type="#_x0000_t75" alt="formula" style="width:9pt;height:10.5pt" o:ole="">
            <v:imagedata r:id="rId44" o:title=""/>
          </v:shape>
          <o:OLEObject Type="Embed" ProgID="Equation.DSMT4" ShapeID="_x0000_i1040" DrawAspect="Content" ObjectID="_1533467654" r:id="rId45"/>
        </w:object>
      </w:r>
      <w:r w:rsidR="00FB12E4" w:rsidRPr="00477CFC">
        <w:rPr>
          <w:rFonts w:ascii="Arial" w:hAnsi="Arial" w:cs="Arial"/>
        </w:rPr>
        <w:t xml:space="preserve">is the contribution rate.  </w:t>
      </w:r>
      <w:r w:rsidRPr="00477CFC">
        <w:rPr>
          <w:rFonts w:ascii="Arial" w:hAnsi="Arial" w:cs="Arial"/>
        </w:rPr>
        <w:t>This calculation is made for every per</w:t>
      </w:r>
      <w:r w:rsidR="00071E58" w:rsidRPr="00477CFC">
        <w:rPr>
          <w:rFonts w:ascii="Arial" w:hAnsi="Arial" w:cs="Arial"/>
        </w:rPr>
        <w:t>son (i.e. earnings history) for</w:t>
      </w:r>
      <w:r w:rsidRPr="00477CFC">
        <w:rPr>
          <w:rFonts w:ascii="Arial" w:hAnsi="Arial" w:cs="Arial"/>
        </w:rPr>
        <w:t xml:space="preserve"> every age in every cohort.  In practice, separate calculations are made for wealth in stocks and bonds and the assumed rates of return do not vary by individual.   In particular, the 401(k) wealth of person </w:t>
      </w:r>
      <w:r w:rsidRPr="00477CFC">
        <w:rPr>
          <w:rFonts w:ascii="Arial" w:hAnsi="Arial" w:cs="Arial"/>
          <w:position w:val="-6"/>
        </w:rPr>
        <w:object w:dxaOrig="139" w:dyaOrig="260">
          <v:shape id="_x0000_i1041" type="#_x0000_t75" style="width:9pt;height:16.5pt" o:ole="" fillcolor="window">
            <v:imagedata r:id="rId20" o:title=""/>
          </v:shape>
          <o:OLEObject Type="Embed" ProgID="Equation.3" ShapeID="_x0000_i1041" DrawAspect="Content" ObjectID="_1533467655" r:id="rId46"/>
        </w:object>
      </w:r>
      <w:r w:rsidRPr="00477CFC">
        <w:rPr>
          <w:rFonts w:ascii="Arial" w:hAnsi="Arial" w:cs="Arial"/>
        </w:rPr>
        <w:t xml:space="preserve">in cohort </w:t>
      </w:r>
      <w:r w:rsidR="00603C74" w:rsidRPr="00477CFC">
        <w:rPr>
          <w:rFonts w:ascii="Arial" w:hAnsi="Arial" w:cs="Arial"/>
          <w:position w:val="-6"/>
        </w:rPr>
        <w:object w:dxaOrig="180" w:dyaOrig="220">
          <v:shape id="_x0000_i1042" type="#_x0000_t75" alt="formula" style="width:12pt;height:14.25pt" o:ole="" fillcolor="window">
            <v:imagedata r:id="rId22" o:title=""/>
          </v:shape>
          <o:OLEObject Type="Embed" ProgID="Equation.3" ShapeID="_x0000_i1042" DrawAspect="Content" ObjectID="_1533467656" r:id="rId47"/>
        </w:object>
      </w:r>
      <w:r w:rsidRPr="00477CFC">
        <w:rPr>
          <w:rFonts w:ascii="Arial" w:hAnsi="Arial" w:cs="Arial"/>
        </w:rPr>
        <w:t>at 65 is given by</w:t>
      </w:r>
    </w:p>
    <w:p w:rsidR="000F2162" w:rsidRPr="00477CFC" w:rsidRDefault="000F2162" w:rsidP="000F2162">
      <w:pPr>
        <w:rPr>
          <w:rFonts w:ascii="Arial" w:hAnsi="Arial" w:cs="Arial"/>
        </w:rPr>
      </w:pPr>
    </w:p>
    <w:p w:rsidR="000F2162" w:rsidRPr="00477CFC" w:rsidRDefault="000F2162" w:rsidP="000F2162">
      <w:pPr>
        <w:rPr>
          <w:rFonts w:ascii="Arial" w:hAnsi="Arial" w:cs="Arial"/>
        </w:rPr>
      </w:pPr>
      <w:r w:rsidRPr="00477CFC">
        <w:rPr>
          <w:rFonts w:ascii="Arial" w:hAnsi="Arial" w:cs="Arial"/>
        </w:rPr>
        <w:t>(2)</w:t>
      </w:r>
      <w:r w:rsidRPr="00477CFC">
        <w:rPr>
          <w:rFonts w:ascii="Arial" w:hAnsi="Arial" w:cs="Arial"/>
        </w:rPr>
        <w:tab/>
      </w:r>
      <w:r w:rsidRPr="00477CFC">
        <w:rPr>
          <w:rFonts w:ascii="Arial" w:hAnsi="Arial" w:cs="Arial"/>
        </w:rPr>
        <w:tab/>
      </w:r>
      <w:r w:rsidR="005A3914" w:rsidRPr="00477CFC">
        <w:rPr>
          <w:rFonts w:ascii="Arial" w:hAnsi="Arial" w:cs="Arial"/>
          <w:position w:val="-34"/>
        </w:rPr>
        <w:object w:dxaOrig="4300" w:dyaOrig="800">
          <v:shape id="_x0000_i1043" type="#_x0000_t75" alt="formula" style="width:279pt;height:52.5pt" o:ole="" fillcolor="window">
            <v:imagedata r:id="rId48" o:title=""/>
          </v:shape>
          <o:OLEObject Type="Embed" ProgID="Equation.3" ShapeID="_x0000_i1043" DrawAspect="Content" ObjectID="_1533467657" r:id="rId49"/>
        </w:object>
      </w:r>
    </w:p>
    <w:p w:rsidR="000F2162" w:rsidRPr="00477CFC" w:rsidRDefault="000F2162" w:rsidP="000F2162">
      <w:pPr>
        <w:rPr>
          <w:rFonts w:ascii="Arial" w:hAnsi="Arial" w:cs="Arial"/>
        </w:rPr>
      </w:pPr>
    </w:p>
    <w:p w:rsidR="00557085" w:rsidRPr="00477CFC" w:rsidRDefault="000F2162" w:rsidP="000F2162">
      <w:pPr>
        <w:rPr>
          <w:rFonts w:ascii="Arial" w:hAnsi="Arial" w:cs="Arial"/>
        </w:rPr>
      </w:pPr>
      <w:r w:rsidRPr="00477CFC">
        <w:rPr>
          <w:rFonts w:ascii="Arial" w:hAnsi="Arial" w:cs="Arial"/>
        </w:rPr>
        <w:t xml:space="preserve">This accumulation is calculated for each person (earnings history) in our sample.  </w:t>
      </w:r>
    </w:p>
    <w:p w:rsidR="00557085" w:rsidRPr="00477CFC" w:rsidRDefault="00557085" w:rsidP="000F2162">
      <w:pPr>
        <w:rPr>
          <w:rFonts w:ascii="Arial" w:hAnsi="Arial" w:cs="Arial"/>
        </w:rPr>
      </w:pPr>
    </w:p>
    <w:p w:rsidR="000F2162" w:rsidRPr="00477CFC" w:rsidRDefault="000F2162" w:rsidP="000F2162">
      <w:pPr>
        <w:rPr>
          <w:rFonts w:ascii="Arial" w:hAnsi="Arial" w:cs="Arial"/>
        </w:rPr>
      </w:pPr>
      <w:r w:rsidRPr="00477CFC">
        <w:rPr>
          <w:rFonts w:ascii="Arial" w:hAnsi="Arial" w:cs="Arial"/>
        </w:rPr>
        <w:tab/>
        <w:t>We then obtain the average wealth held by the population of all persons age 65 for a cohort</w:t>
      </w:r>
      <w:r w:rsidR="005A3914" w:rsidRPr="00477CFC">
        <w:rPr>
          <w:rFonts w:ascii="Arial" w:hAnsi="Arial" w:cs="Arial"/>
          <w:position w:val="-6"/>
        </w:rPr>
        <w:object w:dxaOrig="180" w:dyaOrig="220">
          <v:shape id="_x0000_i1044" type="#_x0000_t75" alt="formula" style="width:12pt;height:14.25pt" o:ole="" fillcolor="window">
            <v:imagedata r:id="rId22" o:title=""/>
          </v:shape>
          <o:OLEObject Type="Embed" ProgID="Equation.3" ShapeID="_x0000_i1044" DrawAspect="Content" ObjectID="_1533467658" r:id="rId50"/>
        </w:object>
      </w:r>
      <w:r w:rsidRPr="00477CFC">
        <w:rPr>
          <w:rFonts w:ascii="Arial" w:hAnsi="Arial" w:cs="Arial"/>
        </w:rPr>
        <w:t xml:space="preserve">.  To do this we need to know how many persons of type </w:t>
      </w:r>
      <w:r w:rsidR="005A3914" w:rsidRPr="00477CFC">
        <w:rPr>
          <w:rFonts w:ascii="Arial" w:hAnsi="Arial" w:cs="Arial"/>
          <w:position w:val="-6"/>
        </w:rPr>
        <w:object w:dxaOrig="139" w:dyaOrig="260">
          <v:shape id="_x0000_i1045" type="#_x0000_t75" alt="formula" style="width:9pt;height:16.5pt" o:ole="" fillcolor="window">
            <v:imagedata r:id="rId20" o:title=""/>
          </v:shape>
          <o:OLEObject Type="Embed" ProgID="Equation.3" ShapeID="_x0000_i1045" DrawAspect="Content" ObjectID="_1533467659" r:id="rId51"/>
        </w:object>
      </w:r>
      <w:r w:rsidRPr="00477CFC">
        <w:rPr>
          <w:rFonts w:ascii="Arial" w:hAnsi="Arial" w:cs="Arial"/>
        </w:rPr>
        <w:t>are</w:t>
      </w:r>
      <w:r w:rsidR="00344FB5" w:rsidRPr="00477CFC">
        <w:rPr>
          <w:rFonts w:ascii="Arial" w:hAnsi="Arial" w:cs="Arial"/>
        </w:rPr>
        <w:t xml:space="preserve"> </w:t>
      </w:r>
      <w:r w:rsidRPr="00477CFC">
        <w:rPr>
          <w:rFonts w:ascii="Arial" w:hAnsi="Arial" w:cs="Arial"/>
        </w:rPr>
        <w:t xml:space="preserve">in the population.  Denote the number of persons with lifetime earnings profile i in cohort c at age 65 by </w:t>
      </w:r>
      <w:r w:rsidR="005A3914" w:rsidRPr="00477CFC">
        <w:rPr>
          <w:rFonts w:ascii="Arial" w:hAnsi="Arial" w:cs="Arial"/>
          <w:position w:val="-12"/>
        </w:rPr>
        <w:object w:dxaOrig="360" w:dyaOrig="360">
          <v:shape id="_x0000_i1046" type="#_x0000_t75" alt="formula" style="width:18pt;height:18pt" o:ole="">
            <v:imagedata r:id="rId52" o:title=""/>
          </v:shape>
          <o:OLEObject Type="Embed" ProgID="Equation.DSMT4" ShapeID="_x0000_i1046" DrawAspect="Content" ObjectID="_1533467660" r:id="rId53"/>
        </w:object>
      </w:r>
      <w:r w:rsidRPr="00477CFC">
        <w:rPr>
          <w:rFonts w:ascii="Arial" w:hAnsi="Arial" w:cs="Arial"/>
        </w:rPr>
        <w:t>(to be determined by population projections).  Then the average of 401(k) assets held by all persons in cohort c at age 65 is given by</w:t>
      </w:r>
    </w:p>
    <w:p w:rsidR="000311CE" w:rsidRPr="00477CFC" w:rsidRDefault="000311CE" w:rsidP="000311CE">
      <w:pPr>
        <w:rPr>
          <w:rFonts w:ascii="Arial" w:hAnsi="Arial" w:cs="Arial"/>
        </w:rPr>
      </w:pPr>
    </w:p>
    <w:p w:rsidR="000311CE" w:rsidRPr="00477CFC" w:rsidRDefault="00B26D97" w:rsidP="000311CE">
      <w:pPr>
        <w:rPr>
          <w:rFonts w:ascii="Arial" w:hAnsi="Arial" w:cs="Arial"/>
        </w:rPr>
      </w:pPr>
      <w:r w:rsidRPr="00477CFC">
        <w:rPr>
          <w:rFonts w:ascii="Arial" w:hAnsi="Arial" w:cs="Arial"/>
        </w:rPr>
        <w:lastRenderedPageBreak/>
        <w:t>(3)</w:t>
      </w:r>
      <w:r w:rsidRPr="00477CFC">
        <w:rPr>
          <w:rFonts w:ascii="Arial" w:hAnsi="Arial" w:cs="Arial"/>
        </w:rPr>
        <w:tab/>
      </w:r>
      <w:r w:rsidRPr="00477CFC">
        <w:rPr>
          <w:rFonts w:ascii="Arial" w:hAnsi="Arial" w:cs="Arial"/>
        </w:rPr>
        <w:tab/>
      </w:r>
      <w:r w:rsidR="005A3914" w:rsidRPr="00477CFC">
        <w:rPr>
          <w:rFonts w:ascii="Arial" w:hAnsi="Arial" w:cs="Arial"/>
          <w:position w:val="-66"/>
        </w:rPr>
        <w:object w:dxaOrig="3360" w:dyaOrig="1440">
          <v:shape id="_x0000_i1047" type="#_x0000_t75" alt="formula" style="width:219.75pt;height:93.75pt" o:ole="" fillcolor="window">
            <v:imagedata r:id="rId54" o:title=""/>
          </v:shape>
          <o:OLEObject Type="Embed" ProgID="Equation.3" ShapeID="_x0000_i1047" DrawAspect="Content" ObjectID="_1533467661" r:id="rId55"/>
        </w:object>
      </w:r>
      <w:r w:rsidR="000311CE" w:rsidRPr="00477CFC">
        <w:rPr>
          <w:rFonts w:ascii="Arial" w:hAnsi="Arial" w:cs="Arial"/>
        </w:rPr>
        <w:t>.</w:t>
      </w:r>
    </w:p>
    <w:p w:rsidR="000311CE" w:rsidRPr="00477CFC" w:rsidRDefault="000311CE" w:rsidP="000311CE">
      <w:pPr>
        <w:rPr>
          <w:rFonts w:ascii="Arial" w:hAnsi="Arial" w:cs="Arial"/>
        </w:rPr>
      </w:pPr>
    </w:p>
    <w:p w:rsidR="000F2162" w:rsidRPr="00477CFC" w:rsidRDefault="000F2162" w:rsidP="000F2162">
      <w:pPr>
        <w:rPr>
          <w:rFonts w:ascii="Arial" w:hAnsi="Arial" w:cs="Arial"/>
        </w:rPr>
      </w:pPr>
      <w:r w:rsidRPr="00477CFC">
        <w:rPr>
          <w:rFonts w:ascii="Arial" w:hAnsi="Arial" w:cs="Arial"/>
        </w:rPr>
        <w:t>where J is the number of persons (earnings histories) in the sample.   In practice, we don’t have population forecasts associated with each earnings history in the sample.  Instead, we project total assets using population projections for groups of persons with the same demographic characteristics.  The Office of the Actuary of the Social Security Administration has developed population projections by calendar year and age and by gender and marital status.  Each earnings history in our sample can also be identified by the gender and marital status of the person.  We first calculate the average of</w:t>
      </w:r>
      <w:r w:rsidR="005A3914" w:rsidRPr="00477CFC">
        <w:rPr>
          <w:rFonts w:ascii="Arial" w:hAnsi="Arial" w:cs="Arial"/>
          <w:position w:val="-12"/>
        </w:rPr>
        <w:object w:dxaOrig="780" w:dyaOrig="360">
          <v:shape id="_x0000_i1048" type="#_x0000_t75" alt="formula" style="width:39pt;height:18pt" o:ole="">
            <v:imagedata r:id="rId56" o:title=""/>
          </v:shape>
          <o:OLEObject Type="Embed" ProgID="Equation.DSMT4" ShapeID="_x0000_i1048" DrawAspect="Content" ObjectID="_1533467662" r:id="rId57"/>
        </w:object>
      </w:r>
      <w:r w:rsidRPr="00477CFC">
        <w:rPr>
          <w:rFonts w:ascii="Arial" w:hAnsi="Arial" w:cs="Arial"/>
        </w:rPr>
        <w:t>separately for each of the four gender-marital status pairs and denote this average by</w:t>
      </w:r>
      <w:r w:rsidR="005A3914" w:rsidRPr="00477CFC">
        <w:rPr>
          <w:position w:val="-10"/>
        </w:rPr>
        <w:object w:dxaOrig="580" w:dyaOrig="380">
          <v:shape id="_x0000_i1049" type="#_x0000_t75" alt="formula" style="width:29.25pt;height:18.75pt" o:ole="">
            <v:imagedata r:id="rId58" o:title=""/>
          </v:shape>
          <o:OLEObject Type="Embed" ProgID="Equation.DSMT4" ShapeID="_x0000_i1049" DrawAspect="Content" ObjectID="_1533467663" r:id="rId59"/>
        </w:object>
      </w:r>
      <w:r w:rsidRPr="00477CFC">
        <w:rPr>
          <w:rFonts w:ascii="Arial" w:hAnsi="Arial" w:cs="Arial"/>
        </w:rPr>
        <w:t>.   Then the average wealth at 65 for each cohort is determined by</w:t>
      </w:r>
    </w:p>
    <w:p w:rsidR="00B26D97" w:rsidRPr="00477CFC" w:rsidRDefault="00B26D97" w:rsidP="007326AA">
      <w:pPr>
        <w:rPr>
          <w:rFonts w:ascii="Arial" w:hAnsi="Arial" w:cs="Arial"/>
        </w:rPr>
      </w:pPr>
    </w:p>
    <w:p w:rsidR="007326AA" w:rsidRPr="00477CFC" w:rsidRDefault="00B26D97" w:rsidP="007326AA">
      <w:pPr>
        <w:rPr>
          <w:rFonts w:ascii="Arial" w:hAnsi="Arial" w:cs="Arial"/>
        </w:rPr>
      </w:pPr>
      <w:r w:rsidRPr="00477CFC">
        <w:rPr>
          <w:rFonts w:ascii="Arial" w:hAnsi="Arial" w:cs="Arial"/>
        </w:rPr>
        <w:t>(4)</w:t>
      </w:r>
      <w:r w:rsidR="007326AA" w:rsidRPr="00477CFC">
        <w:rPr>
          <w:rFonts w:ascii="Arial" w:hAnsi="Arial" w:cs="Arial"/>
        </w:rPr>
        <w:t xml:space="preserve"> </w:t>
      </w:r>
      <w:r w:rsidRPr="00477CFC">
        <w:rPr>
          <w:rFonts w:ascii="Arial" w:hAnsi="Arial" w:cs="Arial"/>
        </w:rPr>
        <w:tab/>
      </w:r>
      <w:r w:rsidRPr="00477CFC">
        <w:rPr>
          <w:rFonts w:ascii="Arial" w:hAnsi="Arial" w:cs="Arial"/>
        </w:rPr>
        <w:tab/>
      </w:r>
      <w:r w:rsidR="005A3914" w:rsidRPr="00477CFC">
        <w:rPr>
          <w:rFonts w:ascii="Arial" w:hAnsi="Arial" w:cs="Arial"/>
          <w:position w:val="-66"/>
        </w:rPr>
        <w:object w:dxaOrig="3620" w:dyaOrig="1440">
          <v:shape id="_x0000_i1050" type="#_x0000_t75" alt="formula" style="width:236.25pt;height:93.75pt" o:ole="" fillcolor="window">
            <v:imagedata r:id="rId60" o:title=""/>
          </v:shape>
          <o:OLEObject Type="Embed" ProgID="Equation.3" ShapeID="_x0000_i1050" DrawAspect="Content" ObjectID="_1533467664" r:id="rId61"/>
        </w:object>
      </w:r>
    </w:p>
    <w:p w:rsidR="007326AA" w:rsidRPr="00477CFC" w:rsidRDefault="007326AA" w:rsidP="000311CE">
      <w:pPr>
        <w:rPr>
          <w:rFonts w:ascii="Arial" w:hAnsi="Arial" w:cs="Arial"/>
        </w:rPr>
      </w:pPr>
    </w:p>
    <w:p w:rsidR="007326AA" w:rsidRPr="00477CFC" w:rsidRDefault="00B26D97" w:rsidP="000311CE">
      <w:pPr>
        <w:rPr>
          <w:rFonts w:ascii="Arial" w:hAnsi="Arial" w:cs="Arial"/>
        </w:rPr>
      </w:pPr>
      <w:r w:rsidRPr="00477CFC">
        <w:rPr>
          <w:rFonts w:ascii="Arial" w:hAnsi="Arial" w:cs="Arial"/>
        </w:rPr>
        <w:t>where the sum is over the four gm (gender-marital-status groups)</w:t>
      </w:r>
      <w:r w:rsidR="000A02C7" w:rsidRPr="00477CFC">
        <w:rPr>
          <w:rFonts w:ascii="Arial" w:hAnsi="Arial" w:cs="Arial"/>
        </w:rPr>
        <w:t xml:space="preserve"> and t</w:t>
      </w:r>
      <w:r w:rsidRPr="00477CFC">
        <w:rPr>
          <w:rFonts w:ascii="Arial" w:hAnsi="Arial" w:cs="Arial"/>
        </w:rPr>
        <w:t>he number of persons i</w:t>
      </w:r>
      <w:r w:rsidR="00F40473" w:rsidRPr="00477CFC">
        <w:rPr>
          <w:rFonts w:ascii="Arial" w:hAnsi="Arial" w:cs="Arial"/>
        </w:rPr>
        <w:t>n each of these groups is taken from the Social Security Administration demographic projections.</w:t>
      </w:r>
    </w:p>
    <w:p w:rsidR="00B26D97" w:rsidRPr="00477CFC" w:rsidRDefault="00B26D97" w:rsidP="000311CE">
      <w:pPr>
        <w:rPr>
          <w:rFonts w:ascii="Arial" w:hAnsi="Arial" w:cs="Arial"/>
        </w:rPr>
      </w:pPr>
    </w:p>
    <w:p w:rsidR="00B26D97" w:rsidRPr="00477CFC" w:rsidRDefault="00B26D97" w:rsidP="00B26D97">
      <w:pPr>
        <w:rPr>
          <w:rFonts w:ascii="Arial" w:hAnsi="Arial" w:cs="Arial"/>
        </w:rPr>
      </w:pPr>
      <w:r w:rsidRPr="00477CFC">
        <w:rPr>
          <w:rFonts w:ascii="Arial" w:hAnsi="Arial" w:cs="Arial"/>
        </w:rPr>
        <w:tab/>
        <w:t xml:space="preserve">We also present projections of total 401(k) assets in each year through 2040.  To do this, we use the identity that the wealth of person </w:t>
      </w:r>
      <w:r w:rsidR="005A3914" w:rsidRPr="00477CFC">
        <w:rPr>
          <w:rFonts w:ascii="Arial" w:hAnsi="Arial" w:cs="Arial"/>
          <w:position w:val="-6"/>
        </w:rPr>
        <w:object w:dxaOrig="139" w:dyaOrig="260">
          <v:shape id="_x0000_i1051" type="#_x0000_t75" alt="formula" style="width:9.75pt;height:16.5pt" o:ole="" fillcolor="window">
            <v:imagedata r:id="rId20" o:title=""/>
          </v:shape>
          <o:OLEObject Type="Embed" ProgID="Equation.3" ShapeID="_x0000_i1051" DrawAspect="Content" ObjectID="_1533467665" r:id="rId62"/>
        </w:object>
      </w:r>
      <w:r w:rsidRPr="00477CFC">
        <w:rPr>
          <w:rFonts w:ascii="Arial" w:hAnsi="Arial" w:cs="Arial"/>
        </w:rPr>
        <w:t xml:space="preserve">in cohort </w:t>
      </w:r>
      <w:r w:rsidR="005A3914" w:rsidRPr="00477CFC">
        <w:rPr>
          <w:rFonts w:ascii="Arial" w:hAnsi="Arial" w:cs="Arial"/>
          <w:position w:val="-6"/>
        </w:rPr>
        <w:object w:dxaOrig="240" w:dyaOrig="279">
          <v:shape id="_x0000_i1052" type="#_x0000_t75" alt="formula" style="width:15.75pt;height:17.25pt" o:ole="" fillcolor="window">
            <v:imagedata r:id="rId63" o:title=""/>
          </v:shape>
          <o:OLEObject Type="Embed" ProgID="Equation.3" ShapeID="_x0000_i1052" DrawAspect="Content" ObjectID="_1533467666" r:id="rId64"/>
        </w:object>
      </w:r>
      <w:r w:rsidRPr="00477CFC">
        <w:rPr>
          <w:rFonts w:ascii="Arial" w:hAnsi="Arial" w:cs="Arial"/>
        </w:rPr>
        <w:t xml:space="preserve">in </w:t>
      </w:r>
      <w:r w:rsidR="00C1117E" w:rsidRPr="00477CFC">
        <w:rPr>
          <w:rFonts w:ascii="Arial" w:hAnsi="Arial" w:cs="Arial"/>
        </w:rPr>
        <w:t>calendar year</w:t>
      </w:r>
      <w:r w:rsidR="005A3914" w:rsidRPr="00477CFC">
        <w:rPr>
          <w:rFonts w:ascii="Arial" w:hAnsi="Arial" w:cs="Arial"/>
          <w:position w:val="-10"/>
        </w:rPr>
        <w:object w:dxaOrig="220" w:dyaOrig="260">
          <v:shape id="_x0000_i1053" type="#_x0000_t75" alt="formula" style="width:11.25pt;height:12.75pt" o:ole="">
            <v:imagedata r:id="rId65" o:title=""/>
          </v:shape>
          <o:OLEObject Type="Embed" ProgID="Equation.DSMT4" ShapeID="_x0000_i1053" DrawAspect="Content" ObjectID="_1533467667" r:id="rId66"/>
        </w:object>
      </w:r>
      <w:r w:rsidRPr="00477CFC">
        <w:rPr>
          <w:rFonts w:ascii="Arial" w:hAnsi="Arial" w:cs="Arial"/>
        </w:rPr>
        <w:t xml:space="preserve"> is given by </w:t>
      </w:r>
    </w:p>
    <w:p w:rsidR="00B26D97" w:rsidRPr="00477CFC" w:rsidRDefault="00B26D97" w:rsidP="00B26D97">
      <w:pPr>
        <w:rPr>
          <w:rFonts w:ascii="Arial" w:hAnsi="Arial" w:cs="Arial"/>
        </w:rPr>
      </w:pPr>
    </w:p>
    <w:p w:rsidR="00B26D97" w:rsidRPr="00477CFC" w:rsidRDefault="00B26D97" w:rsidP="00B26D97">
      <w:pPr>
        <w:rPr>
          <w:rFonts w:ascii="Arial" w:hAnsi="Arial" w:cs="Arial"/>
          <w:color w:val="FF0000"/>
        </w:rPr>
      </w:pPr>
      <w:r w:rsidRPr="00477CFC">
        <w:t>(5)</w:t>
      </w:r>
      <w:r w:rsidRPr="00477CFC">
        <w:tab/>
      </w:r>
      <w:r w:rsidRPr="00477CFC">
        <w:tab/>
      </w:r>
      <w:r w:rsidR="005A3914" w:rsidRPr="00477CFC">
        <w:rPr>
          <w:position w:val="-12"/>
        </w:rPr>
        <w:object w:dxaOrig="2659" w:dyaOrig="360">
          <v:shape id="_x0000_i1054" type="#_x0000_t75" alt="formula" style="width:175.5pt;height:24pt" o:ole="">
            <v:imagedata r:id="rId67" o:title=""/>
          </v:shape>
          <o:OLEObject Type="Embed" ProgID="Equation.DSMT4" ShapeID="_x0000_i1054" DrawAspect="Content" ObjectID="_1533467668" r:id="rId68"/>
        </w:object>
      </w:r>
    </w:p>
    <w:p w:rsidR="00B26D97" w:rsidRPr="00477CFC" w:rsidRDefault="00B26D97" w:rsidP="000311CE">
      <w:pPr>
        <w:rPr>
          <w:rFonts w:ascii="Arial" w:hAnsi="Arial" w:cs="Arial"/>
        </w:rPr>
      </w:pPr>
    </w:p>
    <w:p w:rsidR="000311CE" w:rsidRPr="00477CFC" w:rsidRDefault="00F40473" w:rsidP="000311CE">
      <w:pPr>
        <w:rPr>
          <w:rFonts w:ascii="Arial" w:hAnsi="Arial" w:cs="Arial"/>
        </w:rPr>
      </w:pPr>
      <w:r w:rsidRPr="00477CFC">
        <w:rPr>
          <w:rFonts w:ascii="Arial" w:hAnsi="Arial" w:cs="Arial"/>
        </w:rPr>
        <w:t xml:space="preserve">Then, </w:t>
      </w:r>
      <w:r w:rsidR="00C8039E" w:rsidRPr="00477CFC">
        <w:rPr>
          <w:rFonts w:ascii="Arial" w:hAnsi="Arial" w:cs="Arial"/>
        </w:rPr>
        <w:t>t</w:t>
      </w:r>
      <w:r w:rsidR="000311CE" w:rsidRPr="00477CFC">
        <w:rPr>
          <w:rFonts w:ascii="Arial" w:hAnsi="Arial" w:cs="Arial"/>
        </w:rPr>
        <w:t>he total value of assets held in 401(k) accounts in year y is given by</w:t>
      </w:r>
    </w:p>
    <w:p w:rsidR="000311CE" w:rsidRPr="00477CFC" w:rsidRDefault="000311CE" w:rsidP="000311CE">
      <w:pPr>
        <w:rPr>
          <w:rFonts w:ascii="Arial" w:hAnsi="Arial" w:cs="Arial"/>
        </w:rPr>
      </w:pPr>
    </w:p>
    <w:p w:rsidR="000311CE" w:rsidRPr="00477CFC" w:rsidRDefault="00C8039E" w:rsidP="000311CE">
      <w:pPr>
        <w:rPr>
          <w:rFonts w:ascii="Arial" w:hAnsi="Arial" w:cs="Arial"/>
        </w:rPr>
      </w:pPr>
      <w:r w:rsidRPr="00477CFC">
        <w:t>(6)</w:t>
      </w:r>
      <w:r w:rsidRPr="00477CFC">
        <w:tab/>
      </w:r>
      <w:r w:rsidRPr="00477CFC">
        <w:tab/>
      </w:r>
      <w:r w:rsidR="005A3914" w:rsidRPr="00477CFC">
        <w:rPr>
          <w:position w:val="-28"/>
        </w:rPr>
        <w:object w:dxaOrig="2580" w:dyaOrig="680">
          <v:shape id="_x0000_i1055" type="#_x0000_t75" alt="formula" style="width:168pt;height:44.25pt" o:ole="">
            <v:imagedata r:id="rId69" o:title=""/>
          </v:shape>
          <o:OLEObject Type="Embed" ProgID="Equation.3" ShapeID="_x0000_i1055" DrawAspect="Content" ObjectID="_1533467669" r:id="rId70"/>
        </w:object>
      </w:r>
    </w:p>
    <w:p w:rsidR="00D75A5C" w:rsidRPr="00477CFC" w:rsidRDefault="00CB3353"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p>
    <w:p w:rsidR="00557085" w:rsidRPr="00477CFC" w:rsidRDefault="00D75A5C"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903082" w:rsidRPr="00477CFC">
        <w:rPr>
          <w:rFonts w:ascii="Arial" w:hAnsi="Arial" w:cs="Arial"/>
        </w:rPr>
        <w:t xml:space="preserve">To implement these calculations we need to develop </w:t>
      </w:r>
      <w:r w:rsidR="00EE0494" w:rsidRPr="00477CFC">
        <w:rPr>
          <w:rFonts w:ascii="Arial" w:hAnsi="Arial" w:cs="Arial"/>
        </w:rPr>
        <w:t>projections of futur</w:t>
      </w:r>
      <w:r w:rsidR="002917CA" w:rsidRPr="00477CFC">
        <w:rPr>
          <w:rFonts w:ascii="Arial" w:hAnsi="Arial" w:cs="Arial"/>
        </w:rPr>
        <w:t xml:space="preserve">e 401(k) participation rates and earnings and we need to make assumptions about </w:t>
      </w:r>
      <w:r w:rsidR="002917CA" w:rsidRPr="00477CFC">
        <w:rPr>
          <w:rFonts w:ascii="Arial" w:hAnsi="Arial" w:cs="Arial"/>
        </w:rPr>
        <w:lastRenderedPageBreak/>
        <w:t xml:space="preserve">future 401(k) contribution rates, rates of return, cash-out probabilities, and 401(k) withdrawals.  </w:t>
      </w:r>
      <w:r w:rsidR="006A7582" w:rsidRPr="00477CFC">
        <w:rPr>
          <w:rFonts w:ascii="Arial" w:hAnsi="Arial" w:cs="Arial"/>
        </w:rPr>
        <w:t xml:space="preserve">We begin by describing </w:t>
      </w:r>
      <w:r w:rsidR="000A02C7" w:rsidRPr="00477CFC">
        <w:rPr>
          <w:rFonts w:ascii="Arial" w:hAnsi="Arial" w:cs="Arial"/>
        </w:rPr>
        <w:t xml:space="preserve">projections </w:t>
      </w:r>
      <w:r w:rsidR="006A7582" w:rsidRPr="00477CFC">
        <w:rPr>
          <w:rFonts w:ascii="Arial" w:hAnsi="Arial" w:cs="Arial"/>
        </w:rPr>
        <w:t xml:space="preserve">of average </w:t>
      </w:r>
      <w:r w:rsidR="00C06778" w:rsidRPr="00477CFC">
        <w:rPr>
          <w:rFonts w:ascii="Arial" w:hAnsi="Arial" w:cs="Arial"/>
        </w:rPr>
        <w:t xml:space="preserve">401(k) </w:t>
      </w:r>
      <w:r w:rsidR="006A7582" w:rsidRPr="00477CFC">
        <w:rPr>
          <w:rFonts w:ascii="Arial" w:hAnsi="Arial" w:cs="Arial"/>
        </w:rPr>
        <w:t xml:space="preserve">participation rates </w:t>
      </w:r>
      <w:r w:rsidR="00C06778" w:rsidRPr="00477CFC">
        <w:rPr>
          <w:rFonts w:ascii="Arial" w:hAnsi="Arial" w:cs="Arial"/>
        </w:rPr>
        <w:t>for each</w:t>
      </w:r>
      <w:r w:rsidR="006A7582" w:rsidRPr="00477CFC">
        <w:rPr>
          <w:rFonts w:ascii="Arial" w:hAnsi="Arial" w:cs="Arial"/>
        </w:rPr>
        <w:t xml:space="preserve"> cohort.  </w:t>
      </w:r>
      <w:r w:rsidR="00557085" w:rsidRPr="00477CFC">
        <w:rPr>
          <w:rFonts w:ascii="Arial" w:hAnsi="Arial" w:cs="Arial"/>
        </w:rPr>
        <w:t xml:space="preserve">We then describe the other assumptions that are needed to obtain estimates of 401(k) asset accumulation.  </w:t>
      </w:r>
    </w:p>
    <w:p w:rsidR="00E86132" w:rsidRPr="00477CFC" w:rsidRDefault="00E86132"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3979BC"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strike/>
        </w:rPr>
      </w:pPr>
      <w:r w:rsidRPr="00477CFC">
        <w:rPr>
          <w:rFonts w:ascii="Arial" w:hAnsi="Arial" w:cs="Arial"/>
        </w:rPr>
        <w:tab/>
      </w:r>
      <w:r w:rsidR="00D75A5C" w:rsidRPr="00477CFC">
        <w:rPr>
          <w:rFonts w:ascii="Arial" w:hAnsi="Arial" w:cs="Arial"/>
          <w:b/>
        </w:rPr>
        <w:t>P</w:t>
      </w:r>
      <w:r w:rsidRPr="00477CFC">
        <w:rPr>
          <w:rFonts w:ascii="Arial" w:hAnsi="Arial" w:cs="Arial"/>
          <w:b/>
        </w:rPr>
        <w:t xml:space="preserve">articipation rates:  </w:t>
      </w:r>
      <w:r w:rsidRPr="00477CFC">
        <w:rPr>
          <w:rFonts w:ascii="Arial" w:hAnsi="Arial" w:cs="Arial"/>
        </w:rPr>
        <w:t xml:space="preserve">We use </w:t>
      </w:r>
      <w:r w:rsidR="00A33F83" w:rsidRPr="00477CFC">
        <w:rPr>
          <w:rFonts w:ascii="Arial" w:hAnsi="Arial" w:cs="Arial"/>
        </w:rPr>
        <w:t>SIPP data for 1984, 1987, 1991, 1993, 1995, 1998, and 2003</w:t>
      </w:r>
      <w:r w:rsidRPr="00477CFC">
        <w:rPr>
          <w:rFonts w:ascii="Arial" w:hAnsi="Arial" w:cs="Arial"/>
        </w:rPr>
        <w:t xml:space="preserve"> to track the spread of 401(k) plans over the past two decades and to develop projections of future 401(k) </w:t>
      </w:r>
      <w:r w:rsidR="00C1117E" w:rsidRPr="00477CFC">
        <w:rPr>
          <w:rFonts w:ascii="Arial" w:hAnsi="Arial" w:cs="Arial"/>
        </w:rPr>
        <w:t>participation</w:t>
      </w:r>
      <w:r w:rsidR="00D75A5C" w:rsidRPr="00477CFC">
        <w:rPr>
          <w:rFonts w:ascii="Arial" w:hAnsi="Arial" w:cs="Arial"/>
        </w:rPr>
        <w:t xml:space="preserve"> rates</w:t>
      </w:r>
      <w:r w:rsidRPr="00477CFC">
        <w:rPr>
          <w:rFonts w:ascii="Arial" w:hAnsi="Arial" w:cs="Arial"/>
        </w:rPr>
        <w:t>. We sometimes label a cohort by the age of the cohort in 1984 and sometimes by the year in which the cohort attains age 65.  For example, the cohort that is age 25 in 1984 attains age 65 in 2024 and is referred to as the C25 or the R2024 cohort.</w:t>
      </w:r>
      <w:r w:rsidR="00A33F83" w:rsidRPr="00477CFC">
        <w:rPr>
          <w:rFonts w:ascii="Arial" w:hAnsi="Arial" w:cs="Arial"/>
        </w:rPr>
        <w:t xml:space="preserve">  </w:t>
      </w:r>
      <w:r w:rsidR="00D75A5C" w:rsidRPr="00477CFC">
        <w:rPr>
          <w:rFonts w:ascii="Arial" w:hAnsi="Arial" w:cs="Arial"/>
        </w:rPr>
        <w:t xml:space="preserve">These calculations are based on the person data as reported in the SIPP.  For the figures discussed above we combined these person data to form families.  </w:t>
      </w:r>
    </w:p>
    <w:p w:rsidR="003979BC" w:rsidRPr="00477CFC" w:rsidRDefault="003979BC"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6A7582" w:rsidRPr="00477CFC" w:rsidRDefault="003979BC" w:rsidP="00AE6D70">
      <w:pPr>
        <w:tabs>
          <w:tab w:val="left" w:pos="-180"/>
          <w:tab w:val="left" w:pos="720"/>
          <w:tab w:val="left" w:pos="1080"/>
          <w:tab w:val="left" w:pos="1440"/>
          <w:tab w:val="left" w:pos="1800"/>
          <w:tab w:val="left" w:pos="2160"/>
          <w:tab w:val="left" w:pos="2520"/>
          <w:tab w:val="left" w:pos="2880"/>
        </w:tabs>
        <w:rPr>
          <w:rFonts w:ascii="Arial" w:hAnsi="Arial" w:cs="Arial"/>
          <w:strike/>
        </w:rPr>
      </w:pPr>
      <w:r w:rsidRPr="00477CFC">
        <w:rPr>
          <w:rFonts w:ascii="Arial" w:hAnsi="Arial" w:cs="Arial"/>
        </w:rPr>
        <w:tab/>
      </w:r>
      <w:r w:rsidR="006A7582" w:rsidRPr="00477CFC">
        <w:rPr>
          <w:rFonts w:ascii="Arial" w:hAnsi="Arial" w:cs="Arial"/>
        </w:rPr>
        <w:t>We begin with historical participation rates</w:t>
      </w:r>
      <w:r w:rsidR="007F547A" w:rsidRPr="00477CFC">
        <w:rPr>
          <w:rFonts w:ascii="Arial" w:hAnsi="Arial" w:cs="Arial"/>
        </w:rPr>
        <w:t xml:space="preserve"> </w:t>
      </w:r>
      <w:r w:rsidR="00D75A5C" w:rsidRPr="00477CFC">
        <w:rPr>
          <w:rFonts w:ascii="Arial" w:hAnsi="Arial" w:cs="Arial"/>
        </w:rPr>
        <w:t xml:space="preserve">for </w:t>
      </w:r>
      <w:r w:rsidR="007F547A" w:rsidRPr="00477CFC">
        <w:rPr>
          <w:rFonts w:ascii="Arial" w:hAnsi="Arial" w:cs="Arial"/>
        </w:rPr>
        <w:t>individuals</w:t>
      </w:r>
      <w:r w:rsidR="006A7582" w:rsidRPr="00477CFC">
        <w:rPr>
          <w:rFonts w:ascii="Arial" w:hAnsi="Arial" w:cs="Arial"/>
        </w:rPr>
        <w:t xml:space="preserve"> by cohort, as shown in Figure </w:t>
      </w:r>
      <w:r w:rsidR="00CB3353" w:rsidRPr="00477CFC">
        <w:rPr>
          <w:rFonts w:ascii="Arial" w:hAnsi="Arial" w:cs="Arial"/>
        </w:rPr>
        <w:t>2-</w:t>
      </w:r>
      <w:r w:rsidR="006A7582" w:rsidRPr="00477CFC">
        <w:rPr>
          <w:rFonts w:ascii="Arial" w:hAnsi="Arial" w:cs="Arial"/>
        </w:rPr>
        <w:t>1.  The earliest SIPP data are for 1984 and the most recent data are for 2003.  We will use these data to project 401(k) participation at ages 25 through 65 for a large number of cohorts, ranging from the cohort that attains age 65 in 198</w:t>
      </w:r>
      <w:r w:rsidR="00AF137B" w:rsidRPr="00477CFC">
        <w:rPr>
          <w:rFonts w:ascii="Arial" w:hAnsi="Arial" w:cs="Arial"/>
        </w:rPr>
        <w:t>2</w:t>
      </w:r>
      <w:r w:rsidR="006A7582" w:rsidRPr="00477CFC">
        <w:rPr>
          <w:rFonts w:ascii="Arial" w:hAnsi="Arial" w:cs="Arial"/>
        </w:rPr>
        <w:t xml:space="preserve"> through the cohort that attain</w:t>
      </w:r>
      <w:r w:rsidR="00CB3353" w:rsidRPr="00477CFC">
        <w:rPr>
          <w:rFonts w:ascii="Arial" w:hAnsi="Arial" w:cs="Arial"/>
        </w:rPr>
        <w:t>s</w:t>
      </w:r>
      <w:r w:rsidR="006A7582" w:rsidRPr="00477CFC">
        <w:rPr>
          <w:rFonts w:ascii="Arial" w:hAnsi="Arial" w:cs="Arial"/>
        </w:rPr>
        <w:t xml:space="preserve"> age 65 in 2040.  Only a few of the cohorts (shown in the bottom right of Figure </w:t>
      </w:r>
      <w:r w:rsidR="00795CA9" w:rsidRPr="00477CFC">
        <w:rPr>
          <w:rFonts w:ascii="Arial" w:hAnsi="Arial" w:cs="Arial"/>
        </w:rPr>
        <w:t>2-</w:t>
      </w:r>
      <w:r w:rsidR="006A7582" w:rsidRPr="00477CFC">
        <w:rPr>
          <w:rFonts w:ascii="Arial" w:hAnsi="Arial" w:cs="Arial"/>
        </w:rPr>
        <w:t>1) had attained age 65 by 2003.  Thus for all but a few of the cohorts we must project participation rates from the last observed age in 2003 to age 65.</w:t>
      </w:r>
      <w:r w:rsidR="006A7582" w:rsidRPr="00477CFC">
        <w:rPr>
          <w:rFonts w:ascii="Arial" w:hAnsi="Arial" w:cs="Arial"/>
          <w:color w:val="FF0000"/>
        </w:rPr>
        <w:t xml:space="preserve">  </w:t>
      </w: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The participation rate is the eligibility rate times the participation rate given eligibility.  The future eligibility rate will depend in particular on the spread of 401(k) plans to small employers.  We know that eligibility rates have increased very rapidly over the past two decades, and that participation, given eligibility, increased substantially over the 1984 to 2003 period, as shown in PVW (200</w:t>
      </w:r>
      <w:r w:rsidR="007F547A" w:rsidRPr="00477CFC">
        <w:rPr>
          <w:rFonts w:ascii="Arial" w:hAnsi="Arial" w:cs="Arial"/>
        </w:rPr>
        <w:t>4</w:t>
      </w:r>
      <w:r w:rsidRPr="00477CFC">
        <w:rPr>
          <w:rFonts w:ascii="Arial" w:hAnsi="Arial" w:cs="Arial"/>
        </w:rPr>
        <w:t>).  We have not found a compelling way to formally project future rates of eligibility or participation conditional on eligibility.  Thus we have simply made “plausible” assumptions about fut</w:t>
      </w:r>
      <w:r w:rsidR="00AF137B" w:rsidRPr="00477CFC">
        <w:rPr>
          <w:rFonts w:ascii="Arial" w:hAnsi="Arial" w:cs="Arial"/>
        </w:rPr>
        <w:t>ure participation rates and use</w:t>
      </w:r>
      <w:r w:rsidRPr="00477CFC">
        <w:rPr>
          <w:rFonts w:ascii="Arial" w:hAnsi="Arial" w:cs="Arial"/>
        </w:rPr>
        <w:t xml:space="preserve"> them to project future cohort participation rates for </w:t>
      </w:r>
      <w:r w:rsidR="007F547A" w:rsidRPr="00477CFC">
        <w:rPr>
          <w:rFonts w:ascii="Arial" w:hAnsi="Arial" w:cs="Arial"/>
        </w:rPr>
        <w:t>persons in</w:t>
      </w:r>
      <w:r w:rsidRPr="00477CFC">
        <w:rPr>
          <w:rFonts w:ascii="Arial" w:hAnsi="Arial" w:cs="Arial"/>
        </w:rPr>
        <w:t xml:space="preserve"> cohorts</w:t>
      </w:r>
      <w:r w:rsidR="00CB3353" w:rsidRPr="00477CFC">
        <w:rPr>
          <w:rFonts w:ascii="Arial" w:hAnsi="Arial" w:cs="Arial"/>
        </w:rPr>
        <w:t xml:space="preserve"> not</w:t>
      </w:r>
      <w:r w:rsidRPr="00477CFC">
        <w:rPr>
          <w:rFonts w:ascii="Arial" w:hAnsi="Arial" w:cs="Arial"/>
        </w:rPr>
        <w:t xml:space="preserve"> covered in the SIPP data.  </w:t>
      </w: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p>
    <w:p w:rsidR="006A7582"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r>
        <w:rPr>
          <w:noProof/>
        </w:rPr>
        <w:lastRenderedPageBreak/>
        <w:drawing>
          <wp:inline distT="0" distB="0" distL="0" distR="0">
            <wp:extent cx="5486400" cy="3738245"/>
            <wp:effectExtent l="0" t="0" r="0" b="0"/>
            <wp:docPr id="41" name="Picture 41" descr="Figure 2-1. Person Participation Rate by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gure 2-1. Person Participation Rate by Cohort"/>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 xml:space="preserve">Simple extrapolations of the cohort data are likely to yield implausibly large participation rates.  Consider, for example, the participation rates at age 44 highlighted by the vertical dashed line in Figure </w:t>
      </w:r>
      <w:r w:rsidR="00CB3353" w:rsidRPr="00477CFC">
        <w:rPr>
          <w:rFonts w:ascii="Arial" w:hAnsi="Arial" w:cs="Arial"/>
        </w:rPr>
        <w:t>2-1</w:t>
      </w:r>
      <w:r w:rsidRPr="00477CFC">
        <w:rPr>
          <w:rFonts w:ascii="Arial" w:hAnsi="Arial" w:cs="Arial"/>
        </w:rPr>
        <w:t xml:space="preserve">.  The C44 cohort attained age 44 in 1984 and had a participation rate of 5.8 percent at that time.  The C25 cohort attained age 44 in 2003, 19 years later, and had a participation rate of 44.3 percent.  On average, the participation rate at age 44 increased about 2 percentage points with each successively younger cohort.  Were this rate to continue, the participation rate of the C12 cohort at age 44 (that the C12 cohort will attain in 2016) would be 70.3 percent (44.3+13x2).  We suspect that this estimate of the future participation rate is too high, because 401(k) plans have already diffused through the segments of the corporate population that have workforces that find these plans most attractive, and that have the lowest per-employee administrative costs of implementing a plan.  </w:t>
      </w: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Estimation of cohort effects by fitting the above profiles shows some compression with successively younger cohorts.</w:t>
      </w:r>
      <w:r w:rsidR="00795CA9" w:rsidRPr="00477CFC">
        <w:rPr>
          <w:rFonts w:ascii="Arial" w:hAnsi="Arial" w:cs="Arial"/>
        </w:rPr>
        <w:t xml:space="preserve">  </w:t>
      </w:r>
      <w:r w:rsidRPr="00477CFC">
        <w:rPr>
          <w:rFonts w:ascii="Arial" w:hAnsi="Arial" w:cs="Arial"/>
        </w:rPr>
        <w:t xml:space="preserve">In addition, Figure </w:t>
      </w:r>
      <w:r w:rsidR="00CB3353" w:rsidRPr="00477CFC">
        <w:rPr>
          <w:rFonts w:ascii="Arial" w:hAnsi="Arial" w:cs="Arial"/>
        </w:rPr>
        <w:t>2-</w:t>
      </w:r>
      <w:r w:rsidRPr="00477CFC">
        <w:rPr>
          <w:rFonts w:ascii="Arial" w:hAnsi="Arial" w:cs="Arial"/>
        </w:rPr>
        <w:t>1 suggests that within cohorts, the increase in participation rates was lower between the last two data points for each cohort, 1998 and 2003, than for earlier intervals of comparable length.  These features of the data suggest that the rate of g</w:t>
      </w:r>
      <w:r w:rsidR="00CB3353" w:rsidRPr="00477CFC">
        <w:rPr>
          <w:rFonts w:ascii="Arial" w:hAnsi="Arial" w:cs="Arial"/>
        </w:rPr>
        <w:t>rowth of 401(k) participation may be</w:t>
      </w:r>
      <w:r w:rsidRPr="00477CFC">
        <w:rPr>
          <w:rFonts w:ascii="Arial" w:hAnsi="Arial" w:cs="Arial"/>
        </w:rPr>
        <w:t xml:space="preserve"> slowing.</w:t>
      </w: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To recognize the apparent compression in the cohort effects and the apparent decline in the rate of within</w:t>
      </w:r>
      <w:r w:rsidR="00294C80" w:rsidRPr="00477CFC">
        <w:rPr>
          <w:rFonts w:ascii="Arial" w:hAnsi="Arial" w:cs="Arial"/>
        </w:rPr>
        <w:t>-</w:t>
      </w:r>
      <w:r w:rsidRPr="00477CFC">
        <w:rPr>
          <w:rFonts w:ascii="Arial" w:hAnsi="Arial" w:cs="Arial"/>
        </w:rPr>
        <w:t xml:space="preserve">cohort increase in participation rates, we make future projections for each cohort based on its observed 2003 participation </w:t>
      </w:r>
      <w:r w:rsidRPr="00477CFC">
        <w:rPr>
          <w:rFonts w:ascii="Arial" w:hAnsi="Arial" w:cs="Arial"/>
        </w:rPr>
        <w:lastRenderedPageBreak/>
        <w:t>rate.  We assume that the annual increase in future participation rate will be smaller than that between 1998 and 2003.  In particular, we assume that the future annual rate of increase declines by 0.12 percent per year.  With this assumption, the projected future participation rates for the C25 and the C12 cohort</w:t>
      </w:r>
      <w:r w:rsidR="00CB3353" w:rsidRPr="00477CFC">
        <w:rPr>
          <w:rFonts w:ascii="Arial" w:hAnsi="Arial" w:cs="Arial"/>
        </w:rPr>
        <w:t>s</w:t>
      </w:r>
      <w:r w:rsidRPr="00477CFC">
        <w:rPr>
          <w:rFonts w:ascii="Arial" w:hAnsi="Arial" w:cs="Arial"/>
        </w:rPr>
        <w:t xml:space="preserve"> would be as shown in Figure </w:t>
      </w:r>
      <w:r w:rsidR="00CB3353" w:rsidRPr="00477CFC">
        <w:rPr>
          <w:rFonts w:ascii="Arial" w:hAnsi="Arial" w:cs="Arial"/>
        </w:rPr>
        <w:t>2-</w:t>
      </w:r>
      <w:r w:rsidRPr="00477CFC">
        <w:rPr>
          <w:rFonts w:ascii="Arial" w:hAnsi="Arial" w:cs="Arial"/>
        </w:rPr>
        <w:t>2, which also shows the actual participation rates for these cohorts in 2003 and earlier years.  Based on these projections, the participation rate of the C12 cohort when it attains age 44 in 2016 would be 61.7 percent, compared to 44.3 percent for the C25 cohort, which attained age 44 in 2003.  At age 64, the participation rate would be 56.6 percent for the C25 cohort and 69.4 percent for the C12 cohort.</w:t>
      </w:r>
      <w:r w:rsidR="006B0586" w:rsidRPr="00477CFC">
        <w:rPr>
          <w:rFonts w:ascii="Arial" w:hAnsi="Arial" w:cs="Arial"/>
        </w:rPr>
        <w:t xml:space="preserve">  </w:t>
      </w:r>
    </w:p>
    <w:p w:rsidR="0037034E" w:rsidRPr="00477CFC" w:rsidRDefault="0037034E"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6B0586"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drawing>
          <wp:inline distT="0" distB="0" distL="0" distR="0">
            <wp:extent cx="5486400" cy="3738245"/>
            <wp:effectExtent l="0" t="0" r="0" b="0"/>
            <wp:docPr id="42" name="Picture 42" descr="Figure 2-2 Projected participation rates for cohort C25 (R2024) and C12 (R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igure 2-2 Projected participation rates for cohort C25 (R2024) and C12 (R203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6A7582"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r w:rsidRPr="00477CFC">
        <w:rPr>
          <w:rFonts w:ascii="Arial" w:hAnsi="Arial" w:cs="Arial"/>
        </w:rPr>
        <w:tab/>
        <w:t xml:space="preserve">Figure </w:t>
      </w:r>
      <w:r w:rsidR="0062421B" w:rsidRPr="00477CFC">
        <w:rPr>
          <w:rFonts w:ascii="Arial" w:hAnsi="Arial" w:cs="Arial"/>
        </w:rPr>
        <w:t>2-</w:t>
      </w:r>
      <w:r w:rsidRPr="00477CFC">
        <w:rPr>
          <w:rFonts w:ascii="Arial" w:hAnsi="Arial" w:cs="Arial"/>
        </w:rPr>
        <w:t>3 shows the projected average participation rates</w:t>
      </w:r>
      <w:r w:rsidR="00294C80" w:rsidRPr="00477CFC">
        <w:rPr>
          <w:rFonts w:ascii="Arial" w:hAnsi="Arial" w:cs="Arial"/>
        </w:rPr>
        <w:t xml:space="preserve"> after 2003</w:t>
      </w:r>
      <w:r w:rsidRPr="00477CFC">
        <w:rPr>
          <w:rFonts w:ascii="Arial" w:hAnsi="Arial" w:cs="Arial"/>
        </w:rPr>
        <w:t xml:space="preserve"> for selected cohorts from</w:t>
      </w:r>
      <w:r w:rsidR="00294C80" w:rsidRPr="00477CFC">
        <w:rPr>
          <w:rFonts w:ascii="Arial" w:hAnsi="Arial" w:cs="Arial"/>
        </w:rPr>
        <w:t xml:space="preserve"> one of the youngest cohorts,</w:t>
      </w:r>
      <w:r w:rsidRPr="00477CFC">
        <w:rPr>
          <w:rFonts w:ascii="Arial" w:hAnsi="Arial" w:cs="Arial"/>
        </w:rPr>
        <w:t xml:space="preserve"> C11 (R2038)</w:t>
      </w:r>
      <w:r w:rsidR="00294C80" w:rsidRPr="00477CFC">
        <w:rPr>
          <w:rFonts w:ascii="Arial" w:hAnsi="Arial" w:cs="Arial"/>
        </w:rPr>
        <w:t>,</w:t>
      </w:r>
      <w:r w:rsidRPr="00477CFC">
        <w:rPr>
          <w:rFonts w:ascii="Arial" w:hAnsi="Arial" w:cs="Arial"/>
        </w:rPr>
        <w:t xml:space="preserve"> to </w:t>
      </w:r>
      <w:r w:rsidR="00294C80" w:rsidRPr="00477CFC">
        <w:rPr>
          <w:rFonts w:ascii="Arial" w:hAnsi="Arial" w:cs="Arial"/>
        </w:rPr>
        <w:t>one of the oldest cohorts,</w:t>
      </w:r>
      <w:r w:rsidR="004847FD" w:rsidRPr="00477CFC">
        <w:rPr>
          <w:rFonts w:ascii="Arial" w:hAnsi="Arial" w:cs="Arial"/>
        </w:rPr>
        <w:t xml:space="preserve"> </w:t>
      </w:r>
      <w:r w:rsidRPr="00477CFC">
        <w:rPr>
          <w:rFonts w:ascii="Arial" w:hAnsi="Arial" w:cs="Arial"/>
        </w:rPr>
        <w:t xml:space="preserve">C64 (R1985).  The figure also shows the interpolated participation rates between the years for which data are available prior to 2003.  </w:t>
      </w:r>
      <w:r w:rsidR="00275EFB" w:rsidRPr="00477CFC">
        <w:rPr>
          <w:rFonts w:ascii="Arial" w:hAnsi="Arial" w:cs="Arial"/>
        </w:rPr>
        <w:t xml:space="preserve">The decline in the rate of growth of 401(k) participation </w:t>
      </w:r>
      <w:r w:rsidR="006B0586" w:rsidRPr="00477CFC">
        <w:rPr>
          <w:rFonts w:ascii="Arial" w:hAnsi="Arial" w:cs="Arial"/>
        </w:rPr>
        <w:t xml:space="preserve">between </w:t>
      </w:r>
      <w:r w:rsidR="00275EFB" w:rsidRPr="00477CFC">
        <w:rPr>
          <w:rFonts w:ascii="Arial" w:hAnsi="Arial" w:cs="Arial"/>
        </w:rPr>
        <w:t>1998</w:t>
      </w:r>
      <w:r w:rsidR="006B0586" w:rsidRPr="00477CFC">
        <w:rPr>
          <w:rFonts w:ascii="Arial" w:hAnsi="Arial" w:cs="Arial"/>
        </w:rPr>
        <w:t xml:space="preserve"> and 2003 (the last two years for which SIPP data are available)</w:t>
      </w:r>
      <w:r w:rsidR="00275EFB" w:rsidRPr="00477CFC">
        <w:rPr>
          <w:rFonts w:ascii="Arial" w:hAnsi="Arial" w:cs="Arial"/>
        </w:rPr>
        <w:t xml:space="preserve"> is noticeable for m</w:t>
      </w:r>
      <w:r w:rsidR="006361C7" w:rsidRPr="00477CFC">
        <w:rPr>
          <w:rFonts w:ascii="Arial" w:hAnsi="Arial" w:cs="Arial"/>
        </w:rPr>
        <w:t>any of the cohorts shown in the</w:t>
      </w:r>
      <w:r w:rsidR="00275EFB" w:rsidRPr="00477CFC">
        <w:rPr>
          <w:rFonts w:ascii="Arial" w:hAnsi="Arial" w:cs="Arial"/>
        </w:rPr>
        <w:t xml:space="preserve"> figure.</w:t>
      </w:r>
      <w:r w:rsidR="00294C80" w:rsidRPr="00477CFC">
        <w:rPr>
          <w:rFonts w:ascii="Arial" w:hAnsi="Arial" w:cs="Arial"/>
        </w:rPr>
        <w:t xml:space="preserve">  The figure shows projections for selected cohorts.  </w:t>
      </w:r>
      <w:r w:rsidR="00273187" w:rsidRPr="00477CFC">
        <w:rPr>
          <w:rFonts w:ascii="Arial" w:hAnsi="Arial" w:cs="Arial"/>
        </w:rPr>
        <w:t>The projection algorithm we use includes projections for all cohorts from C65 (R1984) through C9 (2040).</w:t>
      </w:r>
      <w:r w:rsidR="00273187" w:rsidRPr="00477CFC">
        <w:rPr>
          <w:rFonts w:ascii="Arial" w:hAnsi="Arial" w:cs="Arial"/>
          <w:color w:val="FF0000"/>
        </w:rPr>
        <w:t xml:space="preserve">  </w:t>
      </w:r>
    </w:p>
    <w:p w:rsidR="00273187" w:rsidRPr="00477CFC" w:rsidRDefault="00273187"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p>
    <w:p w:rsidR="00ED0CF7" w:rsidRPr="00477CFC" w:rsidRDefault="00ED0CF7" w:rsidP="00ED0CF7">
      <w:pPr>
        <w:tabs>
          <w:tab w:val="left" w:pos="-180"/>
          <w:tab w:val="left" w:pos="720"/>
          <w:tab w:val="left" w:pos="1080"/>
          <w:tab w:val="left" w:pos="1440"/>
          <w:tab w:val="left" w:pos="1800"/>
          <w:tab w:val="left" w:pos="2160"/>
          <w:tab w:val="left" w:pos="2520"/>
          <w:tab w:val="left" w:pos="2880"/>
        </w:tabs>
        <w:rPr>
          <w:rFonts w:ascii="Arial" w:hAnsi="Arial" w:cs="Arial"/>
        </w:rPr>
      </w:pPr>
      <w:r w:rsidRPr="00477CFC">
        <w:tab/>
      </w:r>
      <w:r w:rsidRPr="00477CFC">
        <w:rPr>
          <w:rFonts w:ascii="Arial" w:hAnsi="Arial" w:cs="Arial"/>
        </w:rPr>
        <w:t xml:space="preserve">Participation rates also vary by the level of earnings, given age and cohort.  We have incorporated this variation in our projections but we do not report projections of 401(k) assets by earnings decile in this paper.  Variation in 401(k) asset accumulation by earnings is the focus of Poterba, Venti and Wise </w:t>
      </w:r>
      <w:r w:rsidRPr="00477CFC">
        <w:rPr>
          <w:rFonts w:ascii="Arial" w:hAnsi="Arial" w:cs="Arial"/>
        </w:rPr>
        <w:lastRenderedPageBreak/>
        <w:t xml:space="preserve">(2007b).  A detailed explanation of the procedure used to project participation rates by earning decile is presented in that paper.  </w:t>
      </w:r>
    </w:p>
    <w:p w:rsidR="004847FD" w:rsidRPr="00477CFC" w:rsidRDefault="004847FD"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p>
    <w:p w:rsidR="000618D4" w:rsidRPr="00477CFC" w:rsidRDefault="00AF2C36" w:rsidP="00AE6D70">
      <w:pPr>
        <w:tabs>
          <w:tab w:val="left" w:pos="-180"/>
          <w:tab w:val="left" w:pos="720"/>
          <w:tab w:val="left" w:pos="1080"/>
          <w:tab w:val="left" w:pos="1440"/>
          <w:tab w:val="left" w:pos="1800"/>
          <w:tab w:val="left" w:pos="2160"/>
          <w:tab w:val="left" w:pos="2520"/>
          <w:tab w:val="left" w:pos="2880"/>
        </w:tabs>
      </w:pPr>
      <w:r>
        <w:rPr>
          <w:noProof/>
        </w:rPr>
        <w:drawing>
          <wp:inline distT="0" distB="0" distL="0" distR="0">
            <wp:extent cx="5476240" cy="3728085"/>
            <wp:effectExtent l="0" t="0" r="0" b="0"/>
            <wp:docPr id="43" name="Picture 43" descr="Figure 2-3 Interpolated (1982-2003) and projected (2004-2040) participation rates for selected co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igure 2-3 Interpolated (1982-2003) and projected (2004-2040) participation rates for selected cohorts"/>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476240" cy="3728085"/>
                    </a:xfrm>
                    <a:prstGeom prst="rect">
                      <a:avLst/>
                    </a:prstGeom>
                    <a:noFill/>
                    <a:ln>
                      <a:noFill/>
                    </a:ln>
                  </pic:spPr>
                </pic:pic>
              </a:graphicData>
            </a:graphic>
          </wp:inline>
        </w:drawing>
      </w:r>
      <w:r w:rsidR="00273187" w:rsidRPr="00477CFC">
        <w:rPr>
          <w:rFonts w:ascii="Arial" w:hAnsi="Arial" w:cs="Arial"/>
          <w:color w:val="FF0000"/>
        </w:rPr>
        <w:tab/>
      </w:r>
      <w:r w:rsidR="000618D4" w:rsidRPr="00477CFC">
        <w:t xml:space="preserve"> </w:t>
      </w:r>
    </w:p>
    <w:p w:rsidR="000618D4" w:rsidRPr="00477CFC" w:rsidRDefault="000618D4" w:rsidP="00AE6D70">
      <w:pPr>
        <w:tabs>
          <w:tab w:val="left" w:pos="-180"/>
          <w:tab w:val="left" w:pos="720"/>
          <w:tab w:val="left" w:pos="1080"/>
          <w:tab w:val="left" w:pos="1440"/>
          <w:tab w:val="left" w:pos="1800"/>
          <w:tab w:val="left" w:pos="2160"/>
          <w:tab w:val="left" w:pos="2520"/>
          <w:tab w:val="left" w:pos="2880"/>
        </w:tabs>
      </w:pPr>
    </w:p>
    <w:p w:rsidR="00391E8A" w:rsidRPr="00477CFC" w:rsidRDefault="006A7582"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2F24C5" w:rsidRPr="00477CFC">
        <w:rPr>
          <w:rFonts w:ascii="Arial" w:hAnsi="Arial" w:cs="Arial"/>
          <w:b/>
        </w:rPr>
        <w:t>Allocation and</w:t>
      </w:r>
      <w:r w:rsidR="002F24C5" w:rsidRPr="00477CFC">
        <w:rPr>
          <w:rFonts w:ascii="Arial" w:hAnsi="Arial" w:cs="Arial"/>
        </w:rPr>
        <w:t xml:space="preserve"> </w:t>
      </w:r>
      <w:r w:rsidR="008C31DB" w:rsidRPr="00477CFC">
        <w:rPr>
          <w:rFonts w:ascii="Arial" w:hAnsi="Arial" w:cs="Arial"/>
          <w:b/>
        </w:rPr>
        <w:t>Rate of Return:</w:t>
      </w:r>
      <w:r w:rsidR="008C31DB" w:rsidRPr="00477CFC">
        <w:rPr>
          <w:rFonts w:ascii="Arial" w:hAnsi="Arial" w:cs="Arial"/>
        </w:rPr>
        <w:t xml:space="preserve">  We assume that 60 percent of </w:t>
      </w:r>
      <w:r w:rsidR="0002461D" w:rsidRPr="00477CFC">
        <w:rPr>
          <w:rFonts w:ascii="Arial" w:hAnsi="Arial" w:cs="Arial"/>
        </w:rPr>
        <w:t xml:space="preserve">401(k) </w:t>
      </w:r>
      <w:r w:rsidR="008C31DB" w:rsidRPr="00477CFC">
        <w:rPr>
          <w:rFonts w:ascii="Arial" w:hAnsi="Arial" w:cs="Arial"/>
        </w:rPr>
        <w:t>contributions are allocated to large-capitalization equities and 40 percent to corporate bonds.</w:t>
      </w:r>
      <w:r w:rsidR="00215127" w:rsidRPr="00477CFC">
        <w:rPr>
          <w:rFonts w:ascii="Arial" w:hAnsi="Arial" w:cs="Arial"/>
        </w:rPr>
        <w:t xml:space="preserve">  The projections use actual annual pre-tax returns through 200</w:t>
      </w:r>
      <w:r w:rsidR="0002461D" w:rsidRPr="00477CFC">
        <w:rPr>
          <w:rFonts w:ascii="Arial" w:hAnsi="Arial" w:cs="Arial"/>
        </w:rPr>
        <w:t>5</w:t>
      </w:r>
      <w:r w:rsidR="00215127" w:rsidRPr="00477CFC">
        <w:rPr>
          <w:rFonts w:ascii="Arial" w:hAnsi="Arial" w:cs="Arial"/>
        </w:rPr>
        <w:t xml:space="preserve">.  Beginning in </w:t>
      </w:r>
      <w:r w:rsidR="00090C91" w:rsidRPr="00477CFC">
        <w:rPr>
          <w:rFonts w:ascii="Arial" w:hAnsi="Arial" w:cs="Arial"/>
        </w:rPr>
        <w:t>2006</w:t>
      </w:r>
      <w:r w:rsidR="00215127" w:rsidRPr="00477CFC">
        <w:rPr>
          <w:rFonts w:ascii="Arial" w:hAnsi="Arial" w:cs="Arial"/>
        </w:rPr>
        <w:t xml:space="preserve"> we </w:t>
      </w:r>
      <w:r w:rsidR="005F473A" w:rsidRPr="00477CFC">
        <w:rPr>
          <w:rFonts w:ascii="Arial" w:hAnsi="Arial" w:cs="Arial"/>
        </w:rPr>
        <w:t xml:space="preserve">make projections based on two rate of return assumptions.  First, we </w:t>
      </w:r>
      <w:r w:rsidR="00215127" w:rsidRPr="00477CFC">
        <w:rPr>
          <w:rFonts w:ascii="Arial" w:hAnsi="Arial" w:cs="Arial"/>
        </w:rPr>
        <w:t>assume</w:t>
      </w:r>
      <w:r w:rsidR="008C31DB" w:rsidRPr="00477CFC">
        <w:rPr>
          <w:rFonts w:ascii="Arial" w:hAnsi="Arial" w:cs="Arial"/>
        </w:rPr>
        <w:t xml:space="preserve"> that the average annual nominal return on equities is 12 percent and that the average nominal return on corporate bonds is 6 percent.  </w:t>
      </w:r>
      <w:r w:rsidR="008C31DB" w:rsidRPr="00477CFC">
        <w:rPr>
          <w:rFonts w:ascii="Arial" w:hAnsi="Arial" w:cs="Arial"/>
          <w:lang w:val="en-CA"/>
        </w:rPr>
        <w:fldChar w:fldCharType="begin"/>
      </w:r>
      <w:r w:rsidR="008C31DB" w:rsidRPr="00477CFC">
        <w:rPr>
          <w:rFonts w:ascii="Arial" w:hAnsi="Arial" w:cs="Arial"/>
          <w:lang w:val="en-CA"/>
        </w:rPr>
        <w:instrText xml:space="preserve"> SEQ CHAPTER \h \r 1</w:instrText>
      </w:r>
      <w:r w:rsidR="008C31DB" w:rsidRPr="00477CFC">
        <w:rPr>
          <w:rFonts w:ascii="Arial" w:hAnsi="Arial" w:cs="Arial"/>
          <w:lang w:val="en-CA"/>
        </w:rPr>
        <w:fldChar w:fldCharType="end"/>
      </w:r>
      <w:r w:rsidR="008C31DB" w:rsidRPr="00477CFC">
        <w:rPr>
          <w:rFonts w:ascii="Arial" w:hAnsi="Arial" w:cs="Arial"/>
        </w:rPr>
        <w:t>Ibbotson Associates (200</w:t>
      </w:r>
      <w:r w:rsidR="0002461D" w:rsidRPr="00477CFC">
        <w:rPr>
          <w:rFonts w:ascii="Arial" w:hAnsi="Arial" w:cs="Arial"/>
        </w:rPr>
        <w:t>6</w:t>
      </w:r>
      <w:r w:rsidR="008C31DB" w:rsidRPr="00477CFC">
        <w:rPr>
          <w:rFonts w:ascii="Arial" w:hAnsi="Arial" w:cs="Arial"/>
        </w:rPr>
        <w:t>) reports that the historical arithmetic mean of pretax returns on long-term corporate bonds has been 6.2 percent per year, while large-capitalization stocks have returned an average of 12.</w:t>
      </w:r>
      <w:r w:rsidR="0002461D" w:rsidRPr="00477CFC">
        <w:rPr>
          <w:rFonts w:ascii="Arial" w:hAnsi="Arial" w:cs="Arial"/>
        </w:rPr>
        <w:t>3</w:t>
      </w:r>
      <w:r w:rsidR="008C31DB" w:rsidRPr="00477CFC">
        <w:rPr>
          <w:rFonts w:ascii="Arial" w:hAnsi="Arial" w:cs="Arial"/>
        </w:rPr>
        <w:t xml:space="preserve"> percent over the period 1926-200</w:t>
      </w:r>
      <w:r w:rsidR="0002461D" w:rsidRPr="00477CFC">
        <w:rPr>
          <w:rFonts w:ascii="Arial" w:hAnsi="Arial" w:cs="Arial"/>
        </w:rPr>
        <w:t>5</w:t>
      </w:r>
      <w:r w:rsidR="008C31DB" w:rsidRPr="00477CFC">
        <w:rPr>
          <w:rFonts w:ascii="Arial" w:hAnsi="Arial" w:cs="Arial"/>
        </w:rPr>
        <w:t>.</w:t>
      </w:r>
      <w:r w:rsidR="005F473A" w:rsidRPr="00477CFC">
        <w:rPr>
          <w:rFonts w:ascii="Arial" w:hAnsi="Arial" w:cs="Arial"/>
        </w:rPr>
        <w:t xml:space="preserve">  Second, we assume that the rate of return</w:t>
      </w:r>
      <w:r w:rsidR="0002461D" w:rsidRPr="00477CFC">
        <w:rPr>
          <w:rFonts w:ascii="Arial" w:hAnsi="Arial" w:cs="Arial"/>
        </w:rPr>
        <w:t xml:space="preserve"> on equities</w:t>
      </w:r>
      <w:r w:rsidR="005F473A" w:rsidRPr="00477CFC">
        <w:rPr>
          <w:rFonts w:ascii="Arial" w:hAnsi="Arial" w:cs="Arial"/>
        </w:rPr>
        <w:t xml:space="preserve"> is 300 basis points less than the historical rate.</w:t>
      </w:r>
      <w:r w:rsidR="008C31DB" w:rsidRPr="00477CFC">
        <w:rPr>
          <w:rFonts w:ascii="Arial" w:hAnsi="Arial" w:cs="Arial"/>
        </w:rPr>
        <w:t xml:space="preserve">  These returns are the pretax returns available on a portfolio with no management fees.  We have not as yet accounted for asset management fees.  The average dollar weighted management fee on stock funds is currently about 70 basis points.</w:t>
      </w:r>
    </w:p>
    <w:p w:rsidR="008C31DB" w:rsidRPr="00477CFC" w:rsidRDefault="00391E8A"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r w:rsidRPr="00477CFC">
        <w:rPr>
          <w:rFonts w:ascii="Arial" w:hAnsi="Arial" w:cs="Arial"/>
        </w:rPr>
        <w:tab/>
      </w:r>
    </w:p>
    <w:p w:rsidR="005C059E" w:rsidRPr="00477CFC" w:rsidRDefault="005C059E"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Pr="00477CFC">
        <w:rPr>
          <w:rFonts w:ascii="Arial" w:hAnsi="Arial" w:cs="Arial"/>
          <w:b/>
        </w:rPr>
        <w:t>Job Separation, Lump Sum Distributions, and Cashouts:</w:t>
      </w:r>
      <w:r w:rsidRPr="00477CFC">
        <w:rPr>
          <w:rFonts w:ascii="Arial" w:hAnsi="Arial" w:cs="Arial"/>
        </w:rPr>
        <w:t xml:space="preserve">   At age 25 each person is assigned to a 401(k) job based on the participation probability for that person</w:t>
      </w:r>
      <w:r w:rsidR="00B165C1" w:rsidRPr="00477CFC">
        <w:rPr>
          <w:rFonts w:ascii="Arial" w:hAnsi="Arial" w:cs="Arial"/>
        </w:rPr>
        <w:t>'s age, cohort and earnings</w:t>
      </w:r>
      <w:r w:rsidR="00B62706" w:rsidRPr="00477CFC">
        <w:rPr>
          <w:rFonts w:ascii="Arial" w:hAnsi="Arial" w:cs="Arial"/>
        </w:rPr>
        <w:t>.</w:t>
      </w:r>
      <w:r w:rsidRPr="00477CFC">
        <w:rPr>
          <w:rFonts w:ascii="Arial" w:hAnsi="Arial" w:cs="Arial"/>
        </w:rPr>
        <w:t xml:space="preserve">  In subsequent years each person either remains in the 401(k) job or leaves the 401(k) job.  Job separation rates are estimated from the 1998 SIPP for five-year age intervals.  </w:t>
      </w:r>
      <w:r w:rsidR="00467CE5" w:rsidRPr="00477CFC">
        <w:rPr>
          <w:rFonts w:ascii="Arial" w:hAnsi="Arial" w:cs="Arial"/>
        </w:rPr>
        <w:t xml:space="preserve">These </w:t>
      </w:r>
      <w:r w:rsidR="004458BC" w:rsidRPr="00477CFC">
        <w:rPr>
          <w:rFonts w:ascii="Arial" w:hAnsi="Arial" w:cs="Arial"/>
        </w:rPr>
        <w:t xml:space="preserve">rates </w:t>
      </w:r>
      <w:r w:rsidR="00467CE5" w:rsidRPr="00477CFC">
        <w:rPr>
          <w:rFonts w:ascii="Arial" w:hAnsi="Arial" w:cs="Arial"/>
        </w:rPr>
        <w:t>are shown in the first column of Table 2-3.</w:t>
      </w:r>
      <w:r w:rsidRPr="00477CFC">
        <w:rPr>
          <w:rFonts w:ascii="Arial" w:hAnsi="Arial" w:cs="Arial"/>
        </w:rPr>
        <w:t xml:space="preserve">  </w:t>
      </w:r>
      <w:r w:rsidR="00467CE5" w:rsidRPr="00477CFC">
        <w:rPr>
          <w:rFonts w:ascii="Arial" w:hAnsi="Arial" w:cs="Arial"/>
        </w:rPr>
        <w:t>Separation rates</w:t>
      </w:r>
      <w:r w:rsidRPr="00477CFC">
        <w:rPr>
          <w:rFonts w:ascii="Arial" w:hAnsi="Arial" w:cs="Arial"/>
        </w:rPr>
        <w:t xml:space="preserve"> are allowed to vary by age, but </w:t>
      </w:r>
      <w:r w:rsidRPr="00477CFC">
        <w:rPr>
          <w:rFonts w:ascii="Arial" w:hAnsi="Arial" w:cs="Arial"/>
        </w:rPr>
        <w:lastRenderedPageBreak/>
        <w:t>not by time in job.  Estimated annual rates range from a high of 23 percent for the youngest workers to 12.1 percent for workers age 50 to 5</w:t>
      </w:r>
      <w:r w:rsidR="00467CE5" w:rsidRPr="00477CFC">
        <w:rPr>
          <w:rFonts w:ascii="Arial" w:hAnsi="Arial" w:cs="Arial"/>
        </w:rPr>
        <w:t>4</w:t>
      </w:r>
      <w:r w:rsidRPr="00477CFC">
        <w:rPr>
          <w:rFonts w:ascii="Arial" w:hAnsi="Arial" w:cs="Arial"/>
        </w:rPr>
        <w:t xml:space="preserve">.  After leaving a 401(k) job persons enter a pool of “non-participants.”  In each year members of this pool are selected for a new 401(k) job at a rate that makes the overall participation rate for persons of a particular age and cohort equal to the projected probability for that age and cohort. </w:t>
      </w:r>
      <w:r w:rsidR="009C5D8F" w:rsidRPr="00477CFC">
        <w:rPr>
          <w:rFonts w:ascii="Arial" w:hAnsi="Arial" w:cs="Arial"/>
        </w:rPr>
        <w:t>A similar projection algorithm, with an identical treatment of transitions in and out of 401(k) participation, is described in Poterba, Venti, and Wise [2001].</w:t>
      </w:r>
    </w:p>
    <w:p w:rsidR="005C059E" w:rsidRPr="00477CFC" w:rsidRDefault="005C059E"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 xml:space="preserve"> </w:t>
      </w:r>
    </w:p>
    <w:p w:rsidR="005C059E" w:rsidRPr="00477CFC" w:rsidRDefault="005C059E"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The probability that a 401(k) accumulation is cashed out is determine by the job separation rate, the probability that the employees takes a lump sum distribution (LSD), and the probability that a lump sum distribution is cashed out rather than rolled over into an IRA.  That is, the probability of a cashout is given by:</w:t>
      </w:r>
    </w:p>
    <w:p w:rsidR="005C059E" w:rsidRPr="00477CFC" w:rsidRDefault="00C53389" w:rsidP="00AE6D70">
      <w:pPr>
        <w:pStyle w:val="MTDisplayEquation"/>
        <w:spacing w:line="240" w:lineRule="auto"/>
      </w:pPr>
      <w:r w:rsidRPr="00477CFC">
        <w:tab/>
      </w:r>
      <w:r w:rsidR="000F15C7" w:rsidRPr="00477CFC">
        <w:rPr>
          <w:position w:val="-14"/>
        </w:rPr>
        <w:object w:dxaOrig="6140" w:dyaOrig="400">
          <v:shape id="_x0000_i1056" type="#_x0000_t75" alt="formula" style="width:354.75pt;height:23.25pt" o:ole="">
            <v:imagedata r:id="rId74" o:title=""/>
          </v:shape>
          <o:OLEObject Type="Embed" ProgID="Equation.DSMT4" ShapeID="_x0000_i1056" DrawAspect="Content" ObjectID="_1533467670" r:id="rId75"/>
        </w:object>
      </w:r>
      <w:r w:rsidR="005C059E" w:rsidRPr="00477CFC">
        <w:tab/>
      </w:r>
      <w:r w:rsidR="005C059E" w:rsidRPr="00477CFC">
        <w:rPr>
          <w:position w:val="-4"/>
        </w:rPr>
        <w:object w:dxaOrig="180" w:dyaOrig="279">
          <v:shape id="_x0000_i1057" type="#_x0000_t75" style="width:9pt;height:14.25pt" o:ole="">
            <v:imagedata r:id="rId76" o:title=""/>
          </v:shape>
          <o:OLEObject Type="Embed" ProgID="Equation.DSMT4" ShapeID="_x0000_i1057" DrawAspect="Content" ObjectID="_1533467671" r:id="rId77"/>
        </w:object>
      </w:r>
    </w:p>
    <w:p w:rsidR="005C059E" w:rsidRPr="00477CFC" w:rsidRDefault="005C059E"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 xml:space="preserve">The probabilities associated with each of the components of the cashout </w:t>
      </w:r>
      <w:r w:rsidR="00467CE5" w:rsidRPr="00477CFC">
        <w:rPr>
          <w:rFonts w:ascii="Arial" w:hAnsi="Arial" w:cs="Arial"/>
        </w:rPr>
        <w:t>decision</w:t>
      </w:r>
      <w:r w:rsidRPr="00477CFC">
        <w:rPr>
          <w:rFonts w:ascii="Arial" w:hAnsi="Arial" w:cs="Arial"/>
        </w:rPr>
        <w:t xml:space="preserve"> are shown in Table </w:t>
      </w:r>
      <w:r w:rsidR="00996DB8" w:rsidRPr="00477CFC">
        <w:rPr>
          <w:rFonts w:ascii="Arial" w:hAnsi="Arial" w:cs="Arial"/>
        </w:rPr>
        <w:t>2-</w:t>
      </w:r>
      <w:r w:rsidR="00DA3E63" w:rsidRPr="00477CFC">
        <w:rPr>
          <w:rFonts w:ascii="Arial" w:hAnsi="Arial" w:cs="Arial"/>
        </w:rPr>
        <w:t>1</w:t>
      </w:r>
      <w:r w:rsidRPr="00477CFC">
        <w:rPr>
          <w:rFonts w:ascii="Arial" w:hAnsi="Arial" w:cs="Arial"/>
        </w:rPr>
        <w:t>.</w:t>
      </w:r>
    </w:p>
    <w:p w:rsidR="005C059E" w:rsidRPr="00477CFC" w:rsidRDefault="005C059E" w:rsidP="00ED0CF7">
      <w:pPr>
        <w:tabs>
          <w:tab w:val="left" w:pos="-180"/>
          <w:tab w:val="left" w:pos="720"/>
          <w:tab w:val="left" w:pos="1080"/>
          <w:tab w:val="left" w:pos="1440"/>
          <w:tab w:val="left" w:pos="1800"/>
          <w:tab w:val="left" w:pos="2160"/>
          <w:tab w:val="left" w:pos="2520"/>
          <w:tab w:val="left" w:pos="2880"/>
        </w:tabs>
        <w:ind w:left="360"/>
        <w:rPr>
          <w:rFonts w:ascii="Arial" w:hAnsi="Arial" w:cs="Arial"/>
        </w:rPr>
      </w:pPr>
    </w:p>
    <w:p w:rsidR="005C059E" w:rsidRPr="00477CFC" w:rsidRDefault="00AF2C36" w:rsidP="00ED0CF7">
      <w:pPr>
        <w:tabs>
          <w:tab w:val="left" w:pos="-180"/>
          <w:tab w:val="left" w:pos="720"/>
          <w:tab w:val="left" w:pos="1080"/>
          <w:tab w:val="left" w:pos="1440"/>
          <w:tab w:val="left" w:pos="1800"/>
          <w:tab w:val="left" w:pos="2160"/>
          <w:tab w:val="left" w:pos="2520"/>
          <w:tab w:val="left" w:pos="2880"/>
        </w:tabs>
        <w:ind w:left="360"/>
      </w:pPr>
      <w:r>
        <w:rPr>
          <w:noProof/>
        </w:rPr>
        <w:drawing>
          <wp:inline distT="0" distB="0" distL="0" distR="0">
            <wp:extent cx="5094605" cy="4079875"/>
            <wp:effectExtent l="0" t="0" r="0" b="0"/>
            <wp:docPr id="46" name="Picture 46" descr="Table 2-1 Cashout: probability of job separation, probability of LSD | job separation and probability of cashout | L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ble 2-1 Cashout: probability of job separation, probability of LSD | job separation and probability of cashout | LSD"/>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094605" cy="4079875"/>
                    </a:xfrm>
                    <a:prstGeom prst="rect">
                      <a:avLst/>
                    </a:prstGeom>
                    <a:noFill/>
                    <a:ln>
                      <a:noFill/>
                    </a:ln>
                  </pic:spPr>
                </pic:pic>
              </a:graphicData>
            </a:graphic>
          </wp:inline>
        </w:drawing>
      </w:r>
    </w:p>
    <w:p w:rsidR="005C059E" w:rsidRPr="00477CFC" w:rsidRDefault="005C059E" w:rsidP="00ED0CF7">
      <w:pPr>
        <w:tabs>
          <w:tab w:val="left" w:pos="-180"/>
          <w:tab w:val="left" w:pos="720"/>
          <w:tab w:val="left" w:pos="1080"/>
          <w:tab w:val="left" w:pos="1440"/>
          <w:tab w:val="left" w:pos="1800"/>
          <w:tab w:val="left" w:pos="2160"/>
          <w:tab w:val="left" w:pos="2520"/>
          <w:tab w:val="left" w:pos="2880"/>
        </w:tabs>
        <w:ind w:left="360"/>
        <w:rPr>
          <w:rFonts w:ascii="Arial" w:hAnsi="Arial" w:cs="Arial"/>
          <w:color w:val="FF0000"/>
        </w:rPr>
      </w:pPr>
    </w:p>
    <w:p w:rsidR="005C059E" w:rsidRPr="00477CFC" w:rsidRDefault="00C53389"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467CE5" w:rsidRPr="00477CFC">
        <w:rPr>
          <w:rFonts w:ascii="Arial" w:hAnsi="Arial" w:cs="Arial"/>
        </w:rPr>
        <w:t>When employees separate from a job they may choose to keep their accumulation with their old employer or they may decide to take a LSD.  The SIPP only provides information on the disposition of a LSD.  Thus we are</w:t>
      </w:r>
      <w:r w:rsidR="004150E8" w:rsidRPr="00477CFC">
        <w:rPr>
          <w:rFonts w:ascii="Arial" w:hAnsi="Arial" w:cs="Arial"/>
        </w:rPr>
        <w:t xml:space="preserve"> unable to obtain the probabilit</w:t>
      </w:r>
      <w:r w:rsidR="00467CE5" w:rsidRPr="00477CFC">
        <w:rPr>
          <w:rFonts w:ascii="Arial" w:hAnsi="Arial" w:cs="Arial"/>
        </w:rPr>
        <w:t>y of a LSD given job separation</w:t>
      </w:r>
      <w:r w:rsidR="004150E8" w:rsidRPr="00477CFC">
        <w:rPr>
          <w:rFonts w:ascii="Arial" w:hAnsi="Arial" w:cs="Arial"/>
        </w:rPr>
        <w:t xml:space="preserve"> by age</w:t>
      </w:r>
      <w:r w:rsidR="00467CE5" w:rsidRPr="00477CFC">
        <w:rPr>
          <w:rFonts w:ascii="Arial" w:hAnsi="Arial" w:cs="Arial"/>
        </w:rPr>
        <w:t xml:space="preserve"> from the SIPP.  We</w:t>
      </w:r>
      <w:r w:rsidR="004150E8" w:rsidRPr="00477CFC">
        <w:rPr>
          <w:rFonts w:ascii="Arial" w:hAnsi="Arial" w:cs="Arial"/>
        </w:rPr>
        <w:t xml:space="preserve"> </w:t>
      </w:r>
      <w:r w:rsidR="004150E8" w:rsidRPr="00477CFC">
        <w:rPr>
          <w:rFonts w:ascii="Arial" w:hAnsi="Arial" w:cs="Arial"/>
        </w:rPr>
        <w:lastRenderedPageBreak/>
        <w:t xml:space="preserve">use the </w:t>
      </w:r>
      <w:r w:rsidR="00467CE5" w:rsidRPr="00477CFC">
        <w:rPr>
          <w:rFonts w:ascii="Arial" w:hAnsi="Arial" w:cs="Arial"/>
        </w:rPr>
        <w:t>average rate of 57 percent obtained by Hurd, Lilliard, and Panis</w:t>
      </w:r>
      <w:r w:rsidR="004150E8" w:rsidRPr="00477CFC">
        <w:rPr>
          <w:rFonts w:ascii="Arial" w:hAnsi="Arial" w:cs="Arial"/>
        </w:rPr>
        <w:t xml:space="preserve"> based on </w:t>
      </w:r>
      <w:r w:rsidR="00467CE5" w:rsidRPr="00477CFC">
        <w:rPr>
          <w:rFonts w:ascii="Arial" w:hAnsi="Arial" w:cs="Arial"/>
        </w:rPr>
        <w:t>data from the Health and Retirement Survey</w:t>
      </w:r>
      <w:r w:rsidR="00397934" w:rsidRPr="00477CFC">
        <w:rPr>
          <w:rFonts w:ascii="Arial" w:hAnsi="Arial" w:cs="Arial"/>
        </w:rPr>
        <w:t xml:space="preserve"> (HRS)</w:t>
      </w:r>
      <w:r w:rsidR="004150E8" w:rsidRPr="00477CFC">
        <w:rPr>
          <w:rFonts w:ascii="Arial" w:hAnsi="Arial" w:cs="Arial"/>
        </w:rPr>
        <w:t xml:space="preserve">. </w:t>
      </w:r>
      <w:r w:rsidR="005C059E" w:rsidRPr="00477CFC">
        <w:rPr>
          <w:rFonts w:ascii="Arial" w:hAnsi="Arial" w:cs="Arial"/>
        </w:rPr>
        <w:t xml:space="preserve">On average, the probability of a cashout </w:t>
      </w:r>
      <w:r w:rsidR="00467CE5" w:rsidRPr="00477CFC">
        <w:rPr>
          <w:rFonts w:ascii="Arial" w:hAnsi="Arial" w:cs="Arial"/>
        </w:rPr>
        <w:t>in a given year is</w:t>
      </w:r>
      <w:r w:rsidR="005C059E" w:rsidRPr="00477CFC">
        <w:rPr>
          <w:rFonts w:ascii="Arial" w:hAnsi="Arial" w:cs="Arial"/>
        </w:rPr>
        <w:t xml:space="preserve"> (.151) x (.570) x (.272) = 0.0234.</w:t>
      </w:r>
    </w:p>
    <w:p w:rsidR="00397934" w:rsidRPr="00477CFC" w:rsidRDefault="00397934"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5C059E" w:rsidRPr="00477CFC" w:rsidRDefault="005C059E"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Th</w:t>
      </w:r>
      <w:r w:rsidR="00C53389" w:rsidRPr="00477CFC">
        <w:rPr>
          <w:rFonts w:ascii="Arial" w:hAnsi="Arial" w:cs="Arial"/>
        </w:rPr>
        <w:t>is</w:t>
      </w:r>
      <w:r w:rsidRPr="00477CFC">
        <w:rPr>
          <w:rFonts w:ascii="Arial" w:hAnsi="Arial" w:cs="Arial"/>
        </w:rPr>
        <w:t xml:space="preserve"> cashout probability</w:t>
      </w:r>
      <w:r w:rsidR="001D5CD6" w:rsidRPr="00477CFC">
        <w:rPr>
          <w:rFonts w:ascii="Arial" w:hAnsi="Arial" w:cs="Arial"/>
          <w:color w:val="FF0000"/>
        </w:rPr>
        <w:t xml:space="preserve"> </w:t>
      </w:r>
      <w:r w:rsidRPr="00477CFC">
        <w:rPr>
          <w:rFonts w:ascii="Arial" w:hAnsi="Arial" w:cs="Arial"/>
        </w:rPr>
        <w:t xml:space="preserve">differs from the probability in Poterba, Venti, and Wise (2001).  In that paper, </w:t>
      </w:r>
      <w:r w:rsidR="000A62C5" w:rsidRPr="00477CFC">
        <w:rPr>
          <w:rFonts w:ascii="Arial" w:hAnsi="Arial" w:cs="Arial"/>
        </w:rPr>
        <w:t>we</w:t>
      </w:r>
      <w:r w:rsidRPr="00477CFC">
        <w:rPr>
          <w:rFonts w:ascii="Arial" w:hAnsi="Arial" w:cs="Arial"/>
        </w:rPr>
        <w:t xml:space="preserve"> </w:t>
      </w:r>
      <w:r w:rsidR="000A62C5" w:rsidRPr="00477CFC">
        <w:rPr>
          <w:rFonts w:ascii="Arial" w:hAnsi="Arial" w:cs="Arial"/>
        </w:rPr>
        <w:t xml:space="preserve">used an estimated </w:t>
      </w:r>
      <w:r w:rsidRPr="00477CFC">
        <w:rPr>
          <w:rFonts w:ascii="Arial" w:hAnsi="Arial" w:cs="Arial"/>
        </w:rPr>
        <w:t xml:space="preserve">average </w:t>
      </w:r>
      <w:r w:rsidR="000A62C5" w:rsidRPr="00477CFC">
        <w:rPr>
          <w:rFonts w:ascii="Arial" w:hAnsi="Arial" w:cs="Arial"/>
        </w:rPr>
        <w:t>of</w:t>
      </w:r>
      <w:r w:rsidRPr="00477CFC">
        <w:rPr>
          <w:rFonts w:ascii="Arial" w:hAnsi="Arial" w:cs="Arial"/>
        </w:rPr>
        <w:t xml:space="preserve"> about 0.0108.  The principle reason for the difference is the job separation rates.  In the earlier paper we used estimates </w:t>
      </w:r>
      <w:r w:rsidR="00397934" w:rsidRPr="00477CFC">
        <w:rPr>
          <w:rFonts w:ascii="Arial" w:hAnsi="Arial" w:cs="Arial"/>
        </w:rPr>
        <w:t>based on retrospective information in the HRS.</w:t>
      </w:r>
      <w:r w:rsidRPr="00477CFC">
        <w:rPr>
          <w:rFonts w:ascii="Arial" w:hAnsi="Arial" w:cs="Arial"/>
        </w:rPr>
        <w:t xml:space="preserve">  The average separation rate based on that source was 0.048, compared to the average rate of 0.151 based on the SIPP estimates.</w:t>
      </w:r>
      <w:r w:rsidR="00C53389" w:rsidRPr="00477CFC">
        <w:rPr>
          <w:rStyle w:val="FootnoteReference"/>
          <w:rFonts w:ascii="Arial" w:hAnsi="Arial" w:cs="Arial"/>
        </w:rPr>
        <w:footnoteReference w:id="3"/>
      </w:r>
      <w:r w:rsidRPr="00477CFC">
        <w:rPr>
          <w:rFonts w:ascii="Arial" w:hAnsi="Arial" w:cs="Arial"/>
        </w:rPr>
        <w:t xml:space="preserve"> </w:t>
      </w:r>
      <w:r w:rsidR="00397934" w:rsidRPr="00477CFC">
        <w:rPr>
          <w:rFonts w:ascii="Arial" w:hAnsi="Arial" w:cs="Arial"/>
        </w:rPr>
        <w:t xml:space="preserve"> </w:t>
      </w:r>
      <w:r w:rsidR="007E0765" w:rsidRPr="00477CFC">
        <w:rPr>
          <w:rFonts w:ascii="Arial" w:hAnsi="Arial" w:cs="Arial"/>
        </w:rPr>
        <w:t>In the earlier paper</w:t>
      </w:r>
      <w:r w:rsidR="00397934" w:rsidRPr="00477CFC">
        <w:rPr>
          <w:rFonts w:ascii="Arial" w:hAnsi="Arial" w:cs="Arial"/>
        </w:rPr>
        <w:t xml:space="preserve"> our average estimate</w:t>
      </w:r>
      <w:r w:rsidR="007E0765" w:rsidRPr="00477CFC">
        <w:rPr>
          <w:rFonts w:ascii="Arial" w:hAnsi="Arial" w:cs="Arial"/>
        </w:rPr>
        <w:t xml:space="preserve"> of the (probability of a LSD) x (probability of ca</w:t>
      </w:r>
      <w:r w:rsidR="00397934" w:rsidRPr="00477CFC">
        <w:rPr>
          <w:rFonts w:ascii="Arial" w:hAnsi="Arial" w:cs="Arial"/>
        </w:rPr>
        <w:t>shout | LSD) was</w:t>
      </w:r>
      <w:r w:rsidR="007E0765" w:rsidRPr="00477CFC">
        <w:rPr>
          <w:rFonts w:ascii="Arial" w:hAnsi="Arial" w:cs="Arial"/>
        </w:rPr>
        <w:t xml:space="preserve"> 0.226.  </w:t>
      </w:r>
      <w:r w:rsidR="00397934" w:rsidRPr="00477CFC">
        <w:rPr>
          <w:rFonts w:ascii="Arial" w:hAnsi="Arial" w:cs="Arial"/>
        </w:rPr>
        <w:t>The</w:t>
      </w:r>
      <w:r w:rsidR="007E0765" w:rsidRPr="00477CFC">
        <w:rPr>
          <w:rFonts w:ascii="Arial" w:hAnsi="Arial" w:cs="Arial"/>
        </w:rPr>
        <w:t xml:space="preserve"> average of these two components </w:t>
      </w:r>
      <w:r w:rsidR="00397934" w:rsidRPr="00477CFC">
        <w:rPr>
          <w:rFonts w:ascii="Arial" w:hAnsi="Arial" w:cs="Arial"/>
        </w:rPr>
        <w:t>used</w:t>
      </w:r>
      <w:r w:rsidR="007E0765" w:rsidRPr="00477CFC">
        <w:rPr>
          <w:rFonts w:ascii="Arial" w:hAnsi="Arial" w:cs="Arial"/>
        </w:rPr>
        <w:t xml:space="preserve"> here is somewhat smaller:  (.570) x (.272) = 0.155.</w:t>
      </w:r>
    </w:p>
    <w:p w:rsidR="00D33729" w:rsidRPr="00477CFC" w:rsidRDefault="00D33729"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4150E8" w:rsidRPr="00477CFC" w:rsidRDefault="004150E8"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Pr="00477CFC">
        <w:rPr>
          <w:rFonts w:ascii="Arial" w:hAnsi="Arial" w:cs="Arial"/>
          <w:b/>
        </w:rPr>
        <w:t xml:space="preserve">Withdrawals:  </w:t>
      </w:r>
      <w:r w:rsidRPr="00477CFC">
        <w:rPr>
          <w:rFonts w:ascii="Arial" w:hAnsi="Arial" w:cs="Arial"/>
        </w:rPr>
        <w:t xml:space="preserve">The projections reported here assume a crude withdrawal scheme.  Annual withdrawals are assumed to be 2 percent of balances between ages 65 and 70 ½.  At older ages, the amount withdrawn from the 401(k) is (1/Remaining Life Expectancy) times the 401(k) balance. These withdrawal assumptions likely overstate amounts withdrawn from 401(k) plans.  Berkshadker and Smith [2005] show that over 50 percent of current IRA holders do not make their first withdrawal before age 70. </w:t>
      </w:r>
    </w:p>
    <w:p w:rsidR="004150E8" w:rsidRPr="00477CFC" w:rsidRDefault="004150E8"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4150E8" w:rsidRPr="00477CFC" w:rsidRDefault="004150E8"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Pr="00477CFC">
        <w:rPr>
          <w:rFonts w:ascii="Arial" w:hAnsi="Arial" w:cs="Arial"/>
          <w:b/>
        </w:rPr>
        <w:t xml:space="preserve">Earnings:  </w:t>
      </w:r>
      <w:r w:rsidRPr="00477CFC">
        <w:rPr>
          <w:rFonts w:ascii="Arial" w:hAnsi="Arial" w:cs="Arial"/>
        </w:rPr>
        <w:t xml:space="preserve"> To estimate the 401(k) contributions of a cohort, we need to determine the earnings and the contribution rates of cohort members.  The key to developing an earnings history is access to a long time series of earnings by a single individual or a family.  </w:t>
      </w:r>
      <w:r w:rsidR="00BF4DEA" w:rsidRPr="00477CFC">
        <w:rPr>
          <w:rFonts w:ascii="Arial" w:hAnsi="Arial" w:cs="Arial"/>
        </w:rPr>
        <w:t>We</w:t>
      </w:r>
      <w:r w:rsidR="00B62706" w:rsidRPr="00477CFC">
        <w:rPr>
          <w:rFonts w:ascii="Arial" w:hAnsi="Arial" w:cs="Arial"/>
        </w:rPr>
        <w:t xml:space="preserve"> use the HRS</w:t>
      </w:r>
      <w:r w:rsidRPr="00477CFC">
        <w:rPr>
          <w:rFonts w:ascii="Arial" w:hAnsi="Arial" w:cs="Arial"/>
        </w:rPr>
        <w:t xml:space="preserve"> that provides linked Social Security earnings histories for respondents who agreed to the link.  These data represent earnings histories for a sample of individuals who were between the ages of 52 and 61 in 1992.  The implicit assumption in our analysis is that the distribution of earnings histories that will be realized by younger cohorts will be similar to the earnings histories of the HRS respondents.</w:t>
      </w:r>
    </w:p>
    <w:p w:rsidR="004150E8" w:rsidRPr="00477CFC" w:rsidRDefault="004150E8"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4150E8" w:rsidRPr="00477CFC" w:rsidRDefault="004150E8"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To develop earnings histories for younger cohorts we begin with the Social Security earnings histories of the HRS respondents, available for the years 19</w:t>
      </w:r>
      <w:r w:rsidR="00B62706" w:rsidRPr="00477CFC">
        <w:rPr>
          <w:rFonts w:ascii="Arial" w:hAnsi="Arial" w:cs="Arial"/>
        </w:rPr>
        <w:t>5</w:t>
      </w:r>
      <w:r w:rsidRPr="00477CFC">
        <w:rPr>
          <w:rFonts w:ascii="Arial" w:hAnsi="Arial" w:cs="Arial"/>
        </w:rPr>
        <w:t>1 through 1991.</w:t>
      </w:r>
      <w:r w:rsidRPr="00477CFC">
        <w:rPr>
          <w:rStyle w:val="FootnoteReference"/>
          <w:rFonts w:ascii="Arial" w:hAnsi="Arial" w:cs="Arial"/>
        </w:rPr>
        <w:footnoteReference w:id="4"/>
      </w:r>
      <w:r w:rsidRPr="00477CFC">
        <w:rPr>
          <w:rFonts w:ascii="Arial" w:hAnsi="Arial" w:cs="Arial"/>
        </w:rPr>
        <w:t xml:space="preserve">  Earnings for 1992 through 2000 are obtained directly from HRS respondents.  We begin with the earnings of the cohorts that attained age 65 in 1998, 1999, and 2000.  We obtain lifetime earnings for all single persons that attained age 65 in these years and for all persons in two-person families in which the male partner attained age 65 in these years.  The earnings of the 1998 cohort are “aged” two years and the earnings of the 1999 cohort are </w:t>
      </w:r>
      <w:r w:rsidR="00BF4DEA" w:rsidRPr="00477CFC">
        <w:rPr>
          <w:rFonts w:ascii="Arial" w:hAnsi="Arial" w:cs="Arial"/>
        </w:rPr>
        <w:t>"aged"</w:t>
      </w:r>
      <w:r w:rsidRPr="00477CFC">
        <w:rPr>
          <w:rFonts w:ascii="Arial" w:hAnsi="Arial" w:cs="Arial"/>
        </w:rPr>
        <w:t xml:space="preserve"> one year, </w:t>
      </w:r>
      <w:r w:rsidRPr="00477CFC">
        <w:rPr>
          <w:rFonts w:ascii="Arial" w:hAnsi="Arial" w:cs="Arial"/>
        </w:rPr>
        <w:lastRenderedPageBreak/>
        <w:t>based on the Social Security average wage index.  We then treat these earnings histories as a random sample of the earnings of the cohort that attained age 65 in 2000 (the “R2000” cohort).  The sample reports actual earnings histories, including years with zero earnings, so it recognizes that individuals may not be employed in some years.  We implicitly assume that the employment rate and the distribution of employment by age are similar for future cohorts as for past ones.  (The “R2000” cohort contains some female spouses who were not 65 in 2000.)</w:t>
      </w:r>
    </w:p>
    <w:p w:rsidR="004150E8" w:rsidRPr="00477CFC" w:rsidRDefault="004150E8"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4150E8" w:rsidRPr="00477CFC" w:rsidRDefault="004150E8"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To make projections for the earnings of younger cohorts, we inflate the “R2000” sample using the intermediate earnings</w:t>
      </w:r>
      <w:r w:rsidR="00BF4DEA" w:rsidRPr="00477CFC">
        <w:rPr>
          <w:rFonts w:ascii="Arial" w:hAnsi="Arial" w:cs="Arial"/>
        </w:rPr>
        <w:t xml:space="preserve"> growth</w:t>
      </w:r>
      <w:r w:rsidRPr="00477CFC">
        <w:rPr>
          <w:rFonts w:ascii="Arial" w:hAnsi="Arial" w:cs="Arial"/>
        </w:rPr>
        <w:t xml:space="preserve"> assumptions reported in the 2005 Annual report of the Board of Trustees of the Social Security Administration.  Similarly, to project a sample of earnings for older cohorts we deflate the earning of the “R2000” cohort based on the Social Security average wage index.  This method does not account for any potential change in the relative earnings of high and low-wage persons.</w:t>
      </w:r>
    </w:p>
    <w:p w:rsidR="004150E8" w:rsidRPr="00477CFC" w:rsidRDefault="004150E8"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8C31DB" w:rsidRPr="00477CFC" w:rsidRDefault="008C31DB"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Pr="00477CFC">
        <w:rPr>
          <w:rFonts w:ascii="Arial" w:hAnsi="Arial" w:cs="Arial"/>
          <w:b/>
        </w:rPr>
        <w:t xml:space="preserve">Contribution Rate:  </w:t>
      </w:r>
      <w:r w:rsidRPr="00477CFC">
        <w:rPr>
          <w:rFonts w:ascii="Arial" w:hAnsi="Arial" w:cs="Arial"/>
        </w:rPr>
        <w:t xml:space="preserve">We assume a contribution rate of </w:t>
      </w:r>
      <w:r w:rsidR="004150E8" w:rsidRPr="00477CFC">
        <w:rPr>
          <w:rFonts w:ascii="Arial" w:hAnsi="Arial" w:cs="Arial"/>
        </w:rPr>
        <w:t>10</w:t>
      </w:r>
      <w:r w:rsidRPr="00477CFC">
        <w:rPr>
          <w:rFonts w:ascii="Arial" w:hAnsi="Arial" w:cs="Arial"/>
        </w:rPr>
        <w:t xml:space="preserve"> percent of earnings, including both the employee and the employer contributions.  There are several sources of information o</w:t>
      </w:r>
      <w:r w:rsidR="00C2470C" w:rsidRPr="00477CFC">
        <w:rPr>
          <w:rFonts w:ascii="Arial" w:hAnsi="Arial" w:cs="Arial"/>
        </w:rPr>
        <w:t>n</w:t>
      </w:r>
      <w:r w:rsidRPr="00477CFC">
        <w:rPr>
          <w:rFonts w:ascii="Arial" w:hAnsi="Arial" w:cs="Arial"/>
        </w:rPr>
        <w:t xml:space="preserve"> contribution rates.  Data from the </w:t>
      </w:r>
      <w:r w:rsidR="00C2470C" w:rsidRPr="00477CFC">
        <w:rPr>
          <w:rFonts w:ascii="Arial" w:hAnsi="Arial" w:cs="Arial"/>
        </w:rPr>
        <w:t>2003</w:t>
      </w:r>
      <w:r w:rsidRPr="00477CFC">
        <w:rPr>
          <w:rFonts w:ascii="Arial" w:hAnsi="Arial" w:cs="Arial"/>
        </w:rPr>
        <w:t xml:space="preserve"> SIPP are shown</w:t>
      </w:r>
      <w:r w:rsidR="004150E8" w:rsidRPr="00477CFC">
        <w:rPr>
          <w:rFonts w:ascii="Arial" w:hAnsi="Arial" w:cs="Arial"/>
        </w:rPr>
        <w:t xml:space="preserve"> by age interval in </w:t>
      </w:r>
      <w:r w:rsidRPr="00477CFC">
        <w:rPr>
          <w:rFonts w:ascii="Arial" w:hAnsi="Arial" w:cs="Arial"/>
        </w:rPr>
        <w:t xml:space="preserve">Table </w:t>
      </w:r>
      <w:r w:rsidR="00FD3954" w:rsidRPr="00477CFC">
        <w:rPr>
          <w:rFonts w:ascii="Arial" w:hAnsi="Arial" w:cs="Arial"/>
        </w:rPr>
        <w:t>2-4</w:t>
      </w:r>
      <w:r w:rsidRPr="00477CFC">
        <w:rPr>
          <w:rFonts w:ascii="Arial" w:hAnsi="Arial" w:cs="Arial"/>
        </w:rPr>
        <w:t>.  The</w:t>
      </w:r>
      <w:r w:rsidR="004150E8" w:rsidRPr="00477CFC">
        <w:rPr>
          <w:rFonts w:ascii="Arial" w:hAnsi="Arial" w:cs="Arial"/>
        </w:rPr>
        <w:t xml:space="preserve"> overall</w:t>
      </w:r>
      <w:r w:rsidRPr="00477CFC">
        <w:rPr>
          <w:rFonts w:ascii="Arial" w:hAnsi="Arial" w:cs="Arial"/>
        </w:rPr>
        <w:t xml:space="preserve"> median of the total of employee an</w:t>
      </w:r>
      <w:r w:rsidR="00F1424C" w:rsidRPr="00477CFC">
        <w:rPr>
          <w:rFonts w:ascii="Arial" w:hAnsi="Arial" w:cs="Arial"/>
        </w:rPr>
        <w:t>d</w:t>
      </w:r>
      <w:r w:rsidRPr="00477CFC">
        <w:rPr>
          <w:rFonts w:ascii="Arial" w:hAnsi="Arial" w:cs="Arial"/>
        </w:rPr>
        <w:t xml:space="preserve"> employer </w:t>
      </w:r>
      <w:r w:rsidR="00A4598B" w:rsidRPr="00477CFC">
        <w:rPr>
          <w:rFonts w:ascii="Arial" w:hAnsi="Arial" w:cs="Arial"/>
        </w:rPr>
        <w:t>contributions</w:t>
      </w:r>
      <w:r w:rsidRPr="00477CFC">
        <w:rPr>
          <w:rFonts w:ascii="Arial" w:hAnsi="Arial" w:cs="Arial"/>
        </w:rPr>
        <w:t xml:space="preserve"> is 9</w:t>
      </w:r>
      <w:r w:rsidR="003F6A0B" w:rsidRPr="00477CFC">
        <w:rPr>
          <w:rFonts w:ascii="Arial" w:hAnsi="Arial" w:cs="Arial"/>
        </w:rPr>
        <w:t>.8</w:t>
      </w:r>
      <w:r w:rsidRPr="00477CFC">
        <w:rPr>
          <w:rFonts w:ascii="Arial" w:hAnsi="Arial" w:cs="Arial"/>
        </w:rPr>
        <w:t xml:space="preserve"> percent</w:t>
      </w:r>
      <w:r w:rsidR="002079ED" w:rsidRPr="00477CFC">
        <w:rPr>
          <w:rFonts w:ascii="Arial" w:hAnsi="Arial" w:cs="Arial"/>
        </w:rPr>
        <w:t>.  The employee and employer medians are 5.7 percent and 3.0 percent respectively.  The overall</w:t>
      </w:r>
      <w:r w:rsidR="004150E8" w:rsidRPr="00477CFC">
        <w:rPr>
          <w:rFonts w:ascii="Arial" w:hAnsi="Arial" w:cs="Arial"/>
        </w:rPr>
        <w:t xml:space="preserve"> mean is 12.6 percent</w:t>
      </w:r>
      <w:r w:rsidRPr="00477CFC">
        <w:rPr>
          <w:rFonts w:ascii="Arial" w:hAnsi="Arial" w:cs="Arial"/>
        </w:rPr>
        <w:t>.  The mean rates may be substantially affected by reporting errors.</w:t>
      </w:r>
    </w:p>
    <w:p w:rsidR="008B2047" w:rsidRPr="00477CFC" w:rsidRDefault="008B2047" w:rsidP="00ED0CF7">
      <w:pPr>
        <w:tabs>
          <w:tab w:val="left" w:pos="-180"/>
          <w:tab w:val="left" w:pos="720"/>
          <w:tab w:val="left" w:pos="1080"/>
          <w:tab w:val="left" w:pos="1440"/>
          <w:tab w:val="left" w:pos="1800"/>
          <w:tab w:val="left" w:pos="2160"/>
          <w:tab w:val="left" w:pos="2520"/>
          <w:tab w:val="left" w:pos="2880"/>
        </w:tabs>
        <w:ind w:left="360"/>
        <w:rPr>
          <w:rFonts w:ascii="Arial" w:hAnsi="Arial" w:cs="Arial"/>
        </w:rPr>
      </w:pPr>
    </w:p>
    <w:p w:rsidR="00FD3954" w:rsidRPr="00477CFC" w:rsidRDefault="00AF2C36" w:rsidP="00164FF8">
      <w:pPr>
        <w:tabs>
          <w:tab w:val="left" w:pos="-180"/>
          <w:tab w:val="left" w:pos="720"/>
          <w:tab w:val="left" w:pos="1080"/>
          <w:tab w:val="left" w:pos="1440"/>
          <w:tab w:val="left" w:pos="1800"/>
          <w:tab w:val="left" w:pos="2160"/>
          <w:tab w:val="left" w:pos="2520"/>
          <w:tab w:val="left" w:pos="2880"/>
        </w:tabs>
        <w:ind w:left="180"/>
        <w:rPr>
          <w:rFonts w:ascii="Arial" w:hAnsi="Arial" w:cs="Arial"/>
        </w:rPr>
      </w:pPr>
      <w:r>
        <w:rPr>
          <w:noProof/>
        </w:rPr>
        <w:drawing>
          <wp:inline distT="0" distB="0" distL="0" distR="0">
            <wp:extent cx="5265420" cy="2592705"/>
            <wp:effectExtent l="0" t="0" r="0" b="0"/>
            <wp:docPr id="47" name="Picture 47" descr="Table 2-2 Employee and employer 401(k) contribution rates as a percent of earnings, for individuals, based on 2003 SI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able 2-2 Employee and employer 401(k) contribution rates as a percent of earnings, for individuals, based on 2003 SIPP"/>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265420" cy="2592705"/>
                    </a:xfrm>
                    <a:prstGeom prst="rect">
                      <a:avLst/>
                    </a:prstGeom>
                    <a:noFill/>
                    <a:ln>
                      <a:noFill/>
                    </a:ln>
                  </pic:spPr>
                </pic:pic>
              </a:graphicData>
            </a:graphic>
          </wp:inline>
        </w:drawing>
      </w:r>
    </w:p>
    <w:p w:rsidR="00F1424C" w:rsidRPr="00477CFC" w:rsidRDefault="00F1424C"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6B5DED" w:rsidRPr="00477CFC" w:rsidRDefault="008C31DB" w:rsidP="00F1424C">
      <w:pPr>
        <w:tabs>
          <w:tab w:val="left" w:pos="-180"/>
          <w:tab w:val="left" w:pos="720"/>
          <w:tab w:val="left" w:pos="1080"/>
          <w:tab w:val="left" w:pos="1440"/>
          <w:tab w:val="left" w:pos="1800"/>
          <w:tab w:val="left" w:pos="2160"/>
          <w:tab w:val="left" w:pos="2520"/>
          <w:tab w:val="left" w:pos="2880"/>
        </w:tabs>
        <w:rPr>
          <w:rFonts w:ascii="Arial" w:hAnsi="Arial" w:cs="Arial"/>
          <w:strike/>
        </w:rPr>
      </w:pPr>
      <w:r w:rsidRPr="00477CFC">
        <w:rPr>
          <w:rFonts w:ascii="Arial" w:hAnsi="Arial" w:cs="Arial"/>
        </w:rPr>
        <w:tab/>
        <w:t xml:space="preserve">Poterba, Venti, and Wise (1998) </w:t>
      </w:r>
      <w:r w:rsidR="00B32CF5" w:rsidRPr="00477CFC">
        <w:rPr>
          <w:rFonts w:ascii="Arial" w:hAnsi="Arial" w:cs="Arial"/>
        </w:rPr>
        <w:t xml:space="preserve">reported </w:t>
      </w:r>
      <w:r w:rsidRPr="00477CFC">
        <w:rPr>
          <w:rFonts w:ascii="Arial" w:hAnsi="Arial" w:cs="Arial"/>
        </w:rPr>
        <w:t>contribution</w:t>
      </w:r>
      <w:r w:rsidR="00B32CF5" w:rsidRPr="00477CFC">
        <w:rPr>
          <w:rFonts w:ascii="Arial" w:hAnsi="Arial" w:cs="Arial"/>
        </w:rPr>
        <w:t xml:space="preserve"> rates based on </w:t>
      </w:r>
      <w:r w:rsidRPr="00477CFC">
        <w:rPr>
          <w:rFonts w:ascii="Arial" w:hAnsi="Arial" w:cs="Arial"/>
        </w:rPr>
        <w:t xml:space="preserve">the 1993 Current Population Survey (CPS).  The average </w:t>
      </w:r>
      <w:r w:rsidR="004150E8" w:rsidRPr="00477CFC">
        <w:rPr>
          <w:rFonts w:ascii="Arial" w:hAnsi="Arial" w:cs="Arial"/>
        </w:rPr>
        <w:t xml:space="preserve">employee </w:t>
      </w:r>
      <w:r w:rsidRPr="00477CFC">
        <w:rPr>
          <w:rFonts w:ascii="Arial" w:hAnsi="Arial" w:cs="Arial"/>
        </w:rPr>
        <w:t>contribution rate was 7.1 percent and the average employer rate was 3.1 percent</w:t>
      </w:r>
      <w:r w:rsidR="004150E8" w:rsidRPr="00477CFC">
        <w:rPr>
          <w:rFonts w:ascii="Arial" w:hAnsi="Arial" w:cs="Arial"/>
        </w:rPr>
        <w:t>.</w:t>
      </w:r>
      <w:r w:rsidR="00F1424C" w:rsidRPr="00477CFC">
        <w:rPr>
          <w:rFonts w:ascii="Arial" w:hAnsi="Arial" w:cs="Arial"/>
        </w:rPr>
        <w:t xml:space="preserve">  </w:t>
      </w:r>
      <w:r w:rsidR="006B70E2" w:rsidRPr="00477CFC">
        <w:rPr>
          <w:rFonts w:ascii="Arial" w:hAnsi="Arial" w:cs="Arial"/>
        </w:rPr>
        <w:t>Holden and VanDerHei (2001)</w:t>
      </w:r>
      <w:r w:rsidR="003A120C" w:rsidRPr="00477CFC">
        <w:rPr>
          <w:rFonts w:ascii="Arial" w:hAnsi="Arial" w:cs="Arial"/>
        </w:rPr>
        <w:t xml:space="preserve"> analyze</w:t>
      </w:r>
      <w:r w:rsidR="00CB2E13" w:rsidRPr="00477CFC">
        <w:rPr>
          <w:rFonts w:ascii="Arial" w:hAnsi="Arial" w:cs="Arial"/>
        </w:rPr>
        <w:t>d</w:t>
      </w:r>
      <w:r w:rsidR="003A120C" w:rsidRPr="00477CFC">
        <w:rPr>
          <w:rFonts w:ascii="Arial" w:hAnsi="Arial" w:cs="Arial"/>
        </w:rPr>
        <w:t xml:space="preserve"> the responses to an </w:t>
      </w:r>
      <w:r w:rsidR="002A6CC9" w:rsidRPr="00477CFC">
        <w:rPr>
          <w:rFonts w:ascii="Arial" w:hAnsi="Arial" w:cs="Arial"/>
        </w:rPr>
        <w:t>Employee Benefit Research Institute (EBRI)-Investment Company Institute (ICI) survey</w:t>
      </w:r>
      <w:r w:rsidR="003A120C" w:rsidRPr="00477CFC">
        <w:rPr>
          <w:rFonts w:ascii="Arial" w:hAnsi="Arial" w:cs="Arial"/>
        </w:rPr>
        <w:t xml:space="preserve"> and report that </w:t>
      </w:r>
      <w:r w:rsidR="006B70E2" w:rsidRPr="00477CFC">
        <w:rPr>
          <w:rFonts w:ascii="Arial" w:hAnsi="Arial" w:cs="Arial"/>
        </w:rPr>
        <w:t>in 1999 the average total contribution rate was 9.7 percent.</w:t>
      </w:r>
      <w:r w:rsidRPr="00477CFC">
        <w:rPr>
          <w:rFonts w:ascii="Arial" w:hAnsi="Arial" w:cs="Arial"/>
        </w:rPr>
        <w:t xml:space="preserve"> </w:t>
      </w:r>
      <w:r w:rsidR="006B70E2" w:rsidRPr="00477CFC">
        <w:rPr>
          <w:rFonts w:ascii="Arial" w:hAnsi="Arial" w:cs="Arial"/>
        </w:rPr>
        <w:t xml:space="preserve"> </w:t>
      </w:r>
      <w:r w:rsidRPr="00477CFC">
        <w:rPr>
          <w:rFonts w:ascii="Arial" w:hAnsi="Arial" w:cs="Arial"/>
        </w:rPr>
        <w:t xml:space="preserve">The 1998 Form 5500 </w:t>
      </w:r>
      <w:r w:rsidR="00CB2E13" w:rsidRPr="00477CFC">
        <w:rPr>
          <w:rFonts w:ascii="Arial" w:hAnsi="Arial" w:cs="Arial"/>
        </w:rPr>
        <w:lastRenderedPageBreak/>
        <w:t xml:space="preserve">data </w:t>
      </w:r>
      <w:r w:rsidRPr="00477CFC">
        <w:rPr>
          <w:rFonts w:ascii="Arial" w:hAnsi="Arial" w:cs="Arial"/>
        </w:rPr>
        <w:t xml:space="preserve">show that about 32 percent of dollars are contributed by employers, which is </w:t>
      </w:r>
      <w:r w:rsidR="003A120C" w:rsidRPr="00477CFC">
        <w:rPr>
          <w:rFonts w:ascii="Arial" w:hAnsi="Arial" w:cs="Arial"/>
        </w:rPr>
        <w:t xml:space="preserve">roughly </w:t>
      </w:r>
      <w:r w:rsidRPr="00477CFC">
        <w:rPr>
          <w:rFonts w:ascii="Arial" w:hAnsi="Arial" w:cs="Arial"/>
        </w:rPr>
        <w:t xml:space="preserve">consistent with the </w:t>
      </w:r>
      <w:r w:rsidR="00A4598B" w:rsidRPr="00477CFC">
        <w:rPr>
          <w:rFonts w:ascii="Arial" w:hAnsi="Arial" w:cs="Arial"/>
        </w:rPr>
        <w:t>2003</w:t>
      </w:r>
      <w:r w:rsidRPr="00477CFC">
        <w:rPr>
          <w:rFonts w:ascii="Arial" w:hAnsi="Arial" w:cs="Arial"/>
        </w:rPr>
        <w:t xml:space="preserve"> SIPP median percent and with the 1993 CPS values.</w:t>
      </w:r>
      <w:r w:rsidR="00CB2E13" w:rsidRPr="00477CFC">
        <w:rPr>
          <w:rFonts w:ascii="Arial" w:hAnsi="Arial" w:cs="Arial"/>
        </w:rPr>
        <w:t xml:space="preserve">  </w:t>
      </w:r>
      <w:r w:rsidR="002079ED" w:rsidRPr="00477CFC">
        <w:rPr>
          <w:rFonts w:ascii="Arial" w:hAnsi="Arial" w:cs="Arial"/>
        </w:rPr>
        <w:t>Engelhar</w:t>
      </w:r>
      <w:r w:rsidR="00F1424C" w:rsidRPr="00477CFC">
        <w:rPr>
          <w:rFonts w:ascii="Arial" w:hAnsi="Arial" w:cs="Arial"/>
        </w:rPr>
        <w:t>dt and Cunningham (2002) report</w:t>
      </w:r>
      <w:r w:rsidR="002079ED" w:rsidRPr="00477CFC">
        <w:rPr>
          <w:rFonts w:ascii="Arial" w:hAnsi="Arial" w:cs="Arial"/>
        </w:rPr>
        <w:t xml:space="preserve"> that based on HRS data the average employee contribution rate was 6.6 percent in 1991</w:t>
      </w:r>
      <w:r w:rsidR="00F1424C" w:rsidRPr="00477CFC">
        <w:rPr>
          <w:rFonts w:ascii="Arial" w:hAnsi="Arial" w:cs="Arial"/>
        </w:rPr>
        <w:t>, which</w:t>
      </w:r>
      <w:r w:rsidR="002079ED" w:rsidRPr="00477CFC">
        <w:rPr>
          <w:rFonts w:ascii="Arial" w:hAnsi="Arial" w:cs="Arial"/>
        </w:rPr>
        <w:t xml:space="preserve"> is </w:t>
      </w:r>
      <w:r w:rsidR="00F1424C" w:rsidRPr="00477CFC">
        <w:rPr>
          <w:rFonts w:ascii="Arial" w:hAnsi="Arial" w:cs="Arial"/>
        </w:rPr>
        <w:t xml:space="preserve">again </w:t>
      </w:r>
      <w:r w:rsidR="002079ED" w:rsidRPr="00477CFC">
        <w:rPr>
          <w:rFonts w:ascii="Arial" w:hAnsi="Arial" w:cs="Arial"/>
        </w:rPr>
        <w:t>ge</w:t>
      </w:r>
      <w:r w:rsidR="006B5DED" w:rsidRPr="00477CFC">
        <w:rPr>
          <w:rFonts w:ascii="Arial" w:hAnsi="Arial" w:cs="Arial"/>
        </w:rPr>
        <w:t>nerally consistent with the estimates based on SIPP and on CPS data.</w:t>
      </w:r>
      <w:r w:rsidR="00CB2E13" w:rsidRPr="00477CFC">
        <w:rPr>
          <w:rFonts w:ascii="Arial" w:hAnsi="Arial" w:cs="Arial"/>
        </w:rPr>
        <w:t xml:space="preserve"> </w:t>
      </w:r>
    </w:p>
    <w:p w:rsidR="005E06A5" w:rsidRPr="00477CFC" w:rsidRDefault="005E06A5" w:rsidP="00AE6D70">
      <w:pPr>
        <w:rPr>
          <w:rFonts w:ascii="Arial" w:hAnsi="Arial" w:cs="Arial"/>
        </w:rPr>
      </w:pPr>
    </w:p>
    <w:p w:rsidR="00450382" w:rsidRPr="00477CFC" w:rsidRDefault="006B5DED" w:rsidP="00AE6D70">
      <w:pPr>
        <w:rPr>
          <w:rFonts w:ascii="Arial" w:hAnsi="Arial" w:cs="Arial"/>
        </w:rPr>
      </w:pPr>
      <w:r w:rsidRPr="00477CFC">
        <w:rPr>
          <w:rFonts w:ascii="Arial" w:hAnsi="Arial" w:cs="Arial"/>
        </w:rPr>
        <w:tab/>
      </w:r>
      <w:r w:rsidR="00F54DB6" w:rsidRPr="00477CFC">
        <w:rPr>
          <w:rFonts w:ascii="Arial" w:hAnsi="Arial" w:cs="Arial"/>
        </w:rPr>
        <w:t xml:space="preserve">For several reasons, however, the </w:t>
      </w:r>
      <w:r w:rsidRPr="00477CFC">
        <w:rPr>
          <w:rFonts w:ascii="Arial" w:hAnsi="Arial" w:cs="Arial"/>
        </w:rPr>
        <w:t xml:space="preserve">contribution rate </w:t>
      </w:r>
      <w:r w:rsidR="00F54DB6" w:rsidRPr="00477CFC">
        <w:rPr>
          <w:rFonts w:ascii="Arial" w:hAnsi="Arial" w:cs="Arial"/>
        </w:rPr>
        <w:t>in future years is uncertain</w:t>
      </w:r>
      <w:r w:rsidR="009E6380" w:rsidRPr="00477CFC">
        <w:rPr>
          <w:rFonts w:ascii="Arial" w:hAnsi="Arial" w:cs="Arial"/>
        </w:rPr>
        <w:t xml:space="preserve">.  One reason for uncertainty about future contribution rates is the effect of increases in contribution limits.  Legislation over the past several years has increased contribution limits very substantially and now future increases are indexed to inflation.  The </w:t>
      </w:r>
      <w:r w:rsidRPr="00477CFC">
        <w:rPr>
          <w:rFonts w:ascii="Arial" w:hAnsi="Arial" w:cs="Arial"/>
        </w:rPr>
        <w:t>legislated increases</w:t>
      </w:r>
      <w:r w:rsidR="009E6380" w:rsidRPr="00477CFC">
        <w:rPr>
          <w:rFonts w:ascii="Arial" w:hAnsi="Arial" w:cs="Arial"/>
        </w:rPr>
        <w:t xml:space="preserve"> in 401(k) and related plans are </w:t>
      </w:r>
      <w:r w:rsidR="00450382" w:rsidRPr="00477CFC">
        <w:rPr>
          <w:rFonts w:ascii="Arial" w:hAnsi="Arial" w:cs="Arial"/>
        </w:rPr>
        <w:t>summarized</w:t>
      </w:r>
      <w:r w:rsidR="009E6380" w:rsidRPr="00477CFC">
        <w:rPr>
          <w:rFonts w:ascii="Arial" w:hAnsi="Arial" w:cs="Arial"/>
        </w:rPr>
        <w:t xml:space="preserve"> in an appendix.</w:t>
      </w:r>
      <w:r w:rsidR="0063042A" w:rsidRPr="00477CFC">
        <w:rPr>
          <w:rFonts w:ascii="Arial" w:hAnsi="Arial" w:cs="Arial"/>
        </w:rPr>
        <w:t xml:space="preserve">  Our projections assume that contributions as a percent of salary will be unaffected by the rising limits.  In part, the effect of the limit increases depends on how many participants are constrained by the contribution limits</w:t>
      </w:r>
      <w:r w:rsidR="00B92825" w:rsidRPr="00477CFC">
        <w:rPr>
          <w:rFonts w:ascii="Arial" w:hAnsi="Arial" w:cs="Arial"/>
        </w:rPr>
        <w:t xml:space="preserve"> now and whether fewer participants or more participants will be constrained by future limits</w:t>
      </w:r>
      <w:r w:rsidR="0063042A" w:rsidRPr="00477CFC">
        <w:rPr>
          <w:rFonts w:ascii="Arial" w:hAnsi="Arial" w:cs="Arial"/>
        </w:rPr>
        <w:t xml:space="preserve">.  Holden and VanDerhei (2001) report that in 1999 eleven percent of participants with incomes over $40,000 contributed at the legislated maximum, thirteen percent of those with incomes between $70,000 and $80,000, and eighteen percent of those with incomes between $80,000 and $90,000 contributed at the legislated maximum.  Thus one question is how </w:t>
      </w:r>
      <w:r w:rsidR="00AF04D7" w:rsidRPr="00477CFC">
        <w:rPr>
          <w:rFonts w:ascii="Arial" w:hAnsi="Arial" w:cs="Arial"/>
        </w:rPr>
        <w:t>wage growth will interact</w:t>
      </w:r>
      <w:r w:rsidR="0063042A" w:rsidRPr="00477CFC">
        <w:rPr>
          <w:rFonts w:ascii="Arial" w:hAnsi="Arial" w:cs="Arial"/>
        </w:rPr>
        <w:t xml:space="preserve"> with </w:t>
      </w:r>
      <w:r w:rsidR="00AF04D7" w:rsidRPr="00477CFC">
        <w:rPr>
          <w:rFonts w:ascii="Arial" w:hAnsi="Arial" w:cs="Arial"/>
        </w:rPr>
        <w:t>rising contribution</w:t>
      </w:r>
      <w:r w:rsidR="009277DD" w:rsidRPr="00477CFC">
        <w:rPr>
          <w:rFonts w:ascii="Arial" w:hAnsi="Arial" w:cs="Arial"/>
        </w:rPr>
        <w:t xml:space="preserve"> </w:t>
      </w:r>
      <w:r w:rsidR="0063042A" w:rsidRPr="00477CFC">
        <w:rPr>
          <w:rFonts w:ascii="Arial" w:hAnsi="Arial" w:cs="Arial"/>
        </w:rPr>
        <w:t>limits</w:t>
      </w:r>
      <w:r w:rsidR="00823486" w:rsidRPr="00477CFC">
        <w:rPr>
          <w:rFonts w:ascii="Arial" w:hAnsi="Arial" w:cs="Arial"/>
        </w:rPr>
        <w:t xml:space="preserve"> to</w:t>
      </w:r>
      <w:r w:rsidR="009277DD" w:rsidRPr="00477CFC">
        <w:rPr>
          <w:rFonts w:ascii="Arial" w:hAnsi="Arial" w:cs="Arial"/>
        </w:rPr>
        <w:t xml:space="preserve"> </w:t>
      </w:r>
      <w:r w:rsidR="0063042A" w:rsidRPr="00477CFC">
        <w:rPr>
          <w:rFonts w:ascii="Arial" w:hAnsi="Arial" w:cs="Arial"/>
        </w:rPr>
        <w:t>affect the proportion of persons at the limit.</w:t>
      </w:r>
      <w:r w:rsidR="00F54DB6" w:rsidRPr="00477CFC">
        <w:rPr>
          <w:rFonts w:ascii="Arial" w:hAnsi="Arial" w:cs="Arial"/>
        </w:rPr>
        <w:t xml:space="preserve">  Even though the limits have increased and are now indexed to the CPI, wages are likely to increase faster than the CPI.  The Social Security Administration assumes future wage growth of 3.9 percent and future inflation of 2.8 percent.</w:t>
      </w:r>
      <w:r w:rsidR="00450382" w:rsidRPr="00477CFC">
        <w:rPr>
          <w:rFonts w:ascii="Arial" w:hAnsi="Arial" w:cs="Arial"/>
        </w:rPr>
        <w:t xml:space="preserve">  The legislated maximum, however, may not be the effective limit for many employees.  </w:t>
      </w:r>
      <w:r w:rsidR="00F54DB6" w:rsidRPr="00477CFC">
        <w:rPr>
          <w:rFonts w:ascii="Arial" w:hAnsi="Arial" w:cs="Arial"/>
        </w:rPr>
        <w:t xml:space="preserve">Holden and VanDerhei report that 52 percent of participants in 1999 faced </w:t>
      </w:r>
      <w:r w:rsidR="00823486" w:rsidRPr="00477CFC">
        <w:rPr>
          <w:rFonts w:ascii="Arial" w:hAnsi="Arial" w:cs="Arial"/>
        </w:rPr>
        <w:t xml:space="preserve">employer imposed </w:t>
      </w:r>
      <w:r w:rsidR="00F54DB6" w:rsidRPr="00477CFC">
        <w:rPr>
          <w:rFonts w:ascii="Arial" w:hAnsi="Arial" w:cs="Arial"/>
        </w:rPr>
        <w:t xml:space="preserve">limits below the legislated maximum. </w:t>
      </w:r>
      <w:r w:rsidR="00450382" w:rsidRPr="00477CFC">
        <w:rPr>
          <w:rFonts w:ascii="Arial" w:hAnsi="Arial" w:cs="Arial"/>
        </w:rPr>
        <w:t xml:space="preserve"> </w:t>
      </w:r>
      <w:r w:rsidR="00823486" w:rsidRPr="00477CFC">
        <w:rPr>
          <w:rFonts w:ascii="Arial" w:hAnsi="Arial" w:cs="Arial"/>
        </w:rPr>
        <w:t xml:space="preserve">The number of </w:t>
      </w:r>
      <w:r w:rsidR="00450382" w:rsidRPr="00477CFC">
        <w:rPr>
          <w:rFonts w:ascii="Arial" w:hAnsi="Arial" w:cs="Arial"/>
        </w:rPr>
        <w:t xml:space="preserve">participants </w:t>
      </w:r>
      <w:r w:rsidR="009277DD" w:rsidRPr="00477CFC">
        <w:rPr>
          <w:rFonts w:ascii="Arial" w:hAnsi="Arial" w:cs="Arial"/>
        </w:rPr>
        <w:t xml:space="preserve">that is </w:t>
      </w:r>
      <w:r w:rsidR="00450382" w:rsidRPr="00477CFC">
        <w:rPr>
          <w:rFonts w:ascii="Arial" w:hAnsi="Arial" w:cs="Arial"/>
        </w:rPr>
        <w:t xml:space="preserve">constrained by </w:t>
      </w:r>
      <w:r w:rsidR="00F54DB6" w:rsidRPr="00477CFC">
        <w:rPr>
          <w:rFonts w:ascii="Arial" w:hAnsi="Arial" w:cs="Arial"/>
        </w:rPr>
        <w:t>these limits is unknown.</w:t>
      </w:r>
      <w:r w:rsidR="00450382" w:rsidRPr="00477CFC">
        <w:rPr>
          <w:rFonts w:ascii="Arial" w:hAnsi="Arial" w:cs="Arial"/>
        </w:rPr>
        <w:t xml:space="preserve">  And how</w:t>
      </w:r>
      <w:r w:rsidR="00823486" w:rsidRPr="00477CFC">
        <w:rPr>
          <w:rFonts w:ascii="Arial" w:hAnsi="Arial" w:cs="Arial"/>
        </w:rPr>
        <w:t xml:space="preserve"> the limits set by employers</w:t>
      </w:r>
      <w:r w:rsidR="00450382" w:rsidRPr="00477CFC">
        <w:rPr>
          <w:rFonts w:ascii="Arial" w:hAnsi="Arial" w:cs="Arial"/>
        </w:rPr>
        <w:t xml:space="preserve"> might change in the future is also unknown.</w:t>
      </w:r>
    </w:p>
    <w:p w:rsidR="00450382" w:rsidRPr="00477CFC" w:rsidRDefault="00450382" w:rsidP="00AE6D70">
      <w:pPr>
        <w:rPr>
          <w:rFonts w:ascii="Arial" w:hAnsi="Arial" w:cs="Arial"/>
        </w:rPr>
      </w:pPr>
    </w:p>
    <w:p w:rsidR="008C31DB" w:rsidRPr="00477CFC" w:rsidRDefault="00450382" w:rsidP="00AE6D70">
      <w:pPr>
        <w:rPr>
          <w:rFonts w:ascii="Arial" w:hAnsi="Arial" w:cs="Arial"/>
        </w:rPr>
      </w:pPr>
      <w:r w:rsidRPr="00477CFC">
        <w:rPr>
          <w:rFonts w:ascii="Arial" w:hAnsi="Arial" w:cs="Arial"/>
        </w:rPr>
        <w:tab/>
      </w:r>
      <w:r w:rsidR="006B5DED" w:rsidRPr="00477CFC">
        <w:rPr>
          <w:rFonts w:ascii="Arial" w:hAnsi="Arial" w:cs="Arial"/>
        </w:rPr>
        <w:t>In addition, we have not accounted for the recent Pension Protection Act of 2006 that gives employers latitude to set more "saving friendly" defaults in 401(k) plans.  Beshears, Choi, Laibson, and Madrian (2006) survey some of the recent evidence on how changing defaults for enrollment, contribution rates, and asset allocation can significantly increase retirement saving through 401(k) plans.  Thus our 401(k) projections may underestimate the actual accumulation of assets in these plans.</w:t>
      </w:r>
      <w:r w:rsidR="008501DD" w:rsidRPr="00477CFC">
        <w:rPr>
          <w:rFonts w:ascii="Arial" w:hAnsi="Arial" w:cs="Arial"/>
        </w:rPr>
        <w:t xml:space="preserve">  Finally, the legislated increases in contribution limits may affect participant decisions of how much “should” be saved for retirement.</w:t>
      </w:r>
      <w:r w:rsidR="006B5DED" w:rsidRPr="00477CFC">
        <w:rPr>
          <w:rFonts w:ascii="Arial" w:hAnsi="Arial" w:cs="Arial"/>
        </w:rPr>
        <w:t xml:space="preserve"> </w:t>
      </w:r>
      <w:r w:rsidR="009277DD" w:rsidRPr="00477CFC">
        <w:rPr>
          <w:rFonts w:ascii="Arial" w:hAnsi="Arial" w:cs="Arial"/>
        </w:rPr>
        <w:t xml:space="preserve"> The government-set limits </w:t>
      </w:r>
      <w:r w:rsidR="00823486" w:rsidRPr="00477CFC">
        <w:rPr>
          <w:rFonts w:ascii="Arial" w:hAnsi="Arial" w:cs="Arial"/>
        </w:rPr>
        <w:t>may</w:t>
      </w:r>
      <w:r w:rsidR="009277DD" w:rsidRPr="00477CFC">
        <w:rPr>
          <w:rFonts w:ascii="Arial" w:hAnsi="Arial" w:cs="Arial"/>
        </w:rPr>
        <w:t xml:space="preserve"> serve to</w:t>
      </w:r>
      <w:r w:rsidR="00823486" w:rsidRPr="00477CFC">
        <w:rPr>
          <w:rFonts w:ascii="Arial" w:hAnsi="Arial" w:cs="Arial"/>
        </w:rPr>
        <w:t xml:space="preserve"> </w:t>
      </w:r>
      <w:r w:rsidR="009277DD" w:rsidRPr="00477CFC">
        <w:rPr>
          <w:rFonts w:ascii="Arial" w:hAnsi="Arial" w:cs="Arial"/>
        </w:rPr>
        <w:t xml:space="preserve">“frame” employee decisions.  </w:t>
      </w:r>
      <w:r w:rsidR="00823486" w:rsidRPr="00477CFC">
        <w:rPr>
          <w:rFonts w:ascii="Arial" w:hAnsi="Arial" w:cs="Arial"/>
        </w:rPr>
        <w:t>.</w:t>
      </w:r>
      <w:r w:rsidR="00823486" w:rsidRPr="00477CFC">
        <w:rPr>
          <w:rFonts w:ascii="Arial" w:hAnsi="Arial" w:cs="Arial"/>
          <w:color w:val="FF0000"/>
        </w:rPr>
        <w:t xml:space="preserve">  </w:t>
      </w:r>
    </w:p>
    <w:p w:rsidR="002A6CC9" w:rsidRPr="00477CFC" w:rsidRDefault="002A6CC9"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8C31DB" w:rsidRPr="00477CFC" w:rsidRDefault="005F473A" w:rsidP="00AE6D70">
      <w:pPr>
        <w:tabs>
          <w:tab w:val="left" w:pos="-180"/>
          <w:tab w:val="left" w:pos="720"/>
          <w:tab w:val="left" w:pos="1080"/>
          <w:tab w:val="left" w:pos="1440"/>
          <w:tab w:val="left" w:pos="1800"/>
          <w:tab w:val="left" w:pos="2160"/>
          <w:tab w:val="left" w:pos="2520"/>
          <w:tab w:val="left" w:pos="2880"/>
        </w:tabs>
        <w:rPr>
          <w:rFonts w:ascii="Arial" w:hAnsi="Arial" w:cs="Arial"/>
          <w:b/>
        </w:rPr>
      </w:pPr>
      <w:r w:rsidRPr="00477CFC">
        <w:rPr>
          <w:rFonts w:ascii="Arial" w:hAnsi="Arial" w:cs="Arial"/>
          <w:b/>
        </w:rPr>
        <w:t>3</w:t>
      </w:r>
      <w:r w:rsidR="002A6CC9" w:rsidRPr="00477CFC">
        <w:rPr>
          <w:rFonts w:ascii="Arial" w:hAnsi="Arial" w:cs="Arial"/>
          <w:b/>
        </w:rPr>
        <w:t>.</w:t>
      </w:r>
      <w:r w:rsidR="002A6CC9" w:rsidRPr="00477CFC">
        <w:rPr>
          <w:rFonts w:ascii="Arial" w:hAnsi="Arial" w:cs="Arial"/>
        </w:rPr>
        <w:t xml:space="preserve">  </w:t>
      </w:r>
      <w:r w:rsidR="008C31DB" w:rsidRPr="00477CFC">
        <w:rPr>
          <w:rFonts w:ascii="Arial" w:hAnsi="Arial" w:cs="Arial"/>
          <w:b/>
        </w:rPr>
        <w:t xml:space="preserve">Assets in 401(k) Plans </w:t>
      </w:r>
      <w:r w:rsidR="001A657A" w:rsidRPr="00477CFC">
        <w:rPr>
          <w:rFonts w:ascii="Arial" w:hAnsi="Arial" w:cs="Arial"/>
          <w:b/>
        </w:rPr>
        <w:t xml:space="preserve">at Retirement </w:t>
      </w:r>
      <w:r w:rsidR="008C31DB" w:rsidRPr="00477CFC">
        <w:rPr>
          <w:rFonts w:ascii="Arial" w:hAnsi="Arial" w:cs="Arial"/>
          <w:b/>
        </w:rPr>
        <w:t>and Total Assets by Year</w:t>
      </w:r>
    </w:p>
    <w:p w:rsidR="00F000FC" w:rsidRPr="00477CFC" w:rsidRDefault="00F000FC"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8C31DB" w:rsidRPr="00477CFC" w:rsidRDefault="00F000FC"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1A657A" w:rsidRPr="00477CFC">
        <w:rPr>
          <w:rFonts w:ascii="Arial" w:hAnsi="Arial" w:cs="Arial"/>
        </w:rPr>
        <w:t>We first show 401(k) assets at retirement by cohort and then consider the total value of assets in 401(k) plans by year.</w:t>
      </w:r>
    </w:p>
    <w:p w:rsidR="00697E6A" w:rsidRPr="00477CFC" w:rsidRDefault="00697E6A"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A806EF" w:rsidRPr="00477CFC" w:rsidRDefault="00A806EF" w:rsidP="00AE6D70">
      <w:pPr>
        <w:tabs>
          <w:tab w:val="left" w:pos="-180"/>
          <w:tab w:val="left" w:pos="720"/>
          <w:tab w:val="left" w:pos="1800"/>
          <w:tab w:val="left" w:pos="2520"/>
          <w:tab w:val="left" w:pos="2880"/>
        </w:tabs>
        <w:rPr>
          <w:rFonts w:ascii="Arial" w:hAnsi="Arial" w:cs="Arial"/>
          <w:color w:val="FF0000"/>
        </w:rPr>
      </w:pPr>
      <w:r w:rsidRPr="00477CFC">
        <w:rPr>
          <w:rFonts w:ascii="Arial" w:hAnsi="Arial" w:cs="Arial"/>
        </w:rPr>
        <w:lastRenderedPageBreak/>
        <w:tab/>
      </w:r>
      <w:r w:rsidR="004F10C5" w:rsidRPr="00477CFC">
        <w:rPr>
          <w:rFonts w:ascii="Arial" w:hAnsi="Arial" w:cs="Arial"/>
          <w:b/>
        </w:rPr>
        <w:t xml:space="preserve">401(k) Assets at Retirement:  </w:t>
      </w:r>
      <w:r w:rsidRPr="00477CFC">
        <w:rPr>
          <w:rFonts w:ascii="Arial" w:hAnsi="Arial" w:cs="Arial"/>
        </w:rPr>
        <w:t xml:space="preserve">The average </w:t>
      </w:r>
      <w:r w:rsidR="002E23F1" w:rsidRPr="00477CFC">
        <w:rPr>
          <w:rFonts w:ascii="Arial" w:hAnsi="Arial" w:cs="Arial"/>
          <w:u w:val="single"/>
        </w:rPr>
        <w:t>per</w:t>
      </w:r>
      <w:r w:rsidRPr="00477CFC">
        <w:rPr>
          <w:rFonts w:ascii="Arial" w:hAnsi="Arial" w:cs="Arial"/>
        </w:rPr>
        <w:t xml:space="preserve"> </w:t>
      </w:r>
      <w:r w:rsidRPr="00477CFC">
        <w:rPr>
          <w:rFonts w:ascii="Arial" w:hAnsi="Arial" w:cs="Arial"/>
          <w:u w:val="single"/>
        </w:rPr>
        <w:t>person</w:t>
      </w:r>
      <w:r w:rsidRPr="00477CFC">
        <w:rPr>
          <w:rFonts w:ascii="Arial" w:hAnsi="Arial" w:cs="Arial"/>
        </w:rPr>
        <w:t xml:space="preserve"> </w:t>
      </w:r>
      <w:r w:rsidR="00162668" w:rsidRPr="00477CFC">
        <w:rPr>
          <w:rFonts w:ascii="Arial" w:hAnsi="Arial" w:cs="Arial"/>
        </w:rPr>
        <w:t xml:space="preserve">of </w:t>
      </w:r>
      <w:r w:rsidRPr="00477CFC">
        <w:rPr>
          <w:rFonts w:ascii="Arial" w:hAnsi="Arial" w:cs="Arial"/>
        </w:rPr>
        <w:t xml:space="preserve">401(k) assets at age 65 (in 2000 dollars) is shown in Figure </w:t>
      </w:r>
      <w:r w:rsidR="001A657A" w:rsidRPr="00477CFC">
        <w:rPr>
          <w:rFonts w:ascii="Arial" w:hAnsi="Arial" w:cs="Arial"/>
        </w:rPr>
        <w:t>3-1</w:t>
      </w:r>
      <w:r w:rsidRPr="00477CFC">
        <w:rPr>
          <w:rFonts w:ascii="Arial" w:hAnsi="Arial" w:cs="Arial"/>
        </w:rPr>
        <w:t>, for cohorts R1982 to R2040.</w:t>
      </w:r>
      <w:r w:rsidR="00DD326A" w:rsidRPr="00477CFC">
        <w:rPr>
          <w:rFonts w:ascii="Arial" w:hAnsi="Arial" w:cs="Arial"/>
        </w:rPr>
        <w:t xml:space="preserve">  Tw</w:t>
      </w:r>
      <w:r w:rsidR="00162668" w:rsidRPr="00477CFC">
        <w:rPr>
          <w:rFonts w:ascii="Arial" w:hAnsi="Arial" w:cs="Arial"/>
        </w:rPr>
        <w:t>o</w:t>
      </w:r>
      <w:r w:rsidR="00DD326A" w:rsidRPr="00477CFC">
        <w:rPr>
          <w:rFonts w:ascii="Arial" w:hAnsi="Arial" w:cs="Arial"/>
        </w:rPr>
        <w:t xml:space="preserve"> profiles are shown, one assuming the average historical rate of return for equities and the other assuming the historical rate less 300 basis points.</w:t>
      </w:r>
      <w:r w:rsidRPr="00477CFC">
        <w:rPr>
          <w:rFonts w:ascii="Arial" w:hAnsi="Arial" w:cs="Arial"/>
        </w:rPr>
        <w:t xml:space="preserve">   The projected average increases very substantially over the next 35 years.  </w:t>
      </w:r>
      <w:r w:rsidR="00495793" w:rsidRPr="00477CFC">
        <w:rPr>
          <w:rFonts w:ascii="Arial" w:hAnsi="Arial" w:cs="Arial"/>
        </w:rPr>
        <w:t xml:space="preserve">If the </w:t>
      </w:r>
      <w:r w:rsidR="00DD326A" w:rsidRPr="00477CFC">
        <w:rPr>
          <w:rFonts w:ascii="Arial" w:hAnsi="Arial" w:cs="Arial"/>
        </w:rPr>
        <w:t>historical rate of return</w:t>
      </w:r>
      <w:r w:rsidR="00495793" w:rsidRPr="00477CFC">
        <w:rPr>
          <w:rFonts w:ascii="Arial" w:hAnsi="Arial" w:cs="Arial"/>
        </w:rPr>
        <w:t xml:space="preserve"> on equities is assumed</w:t>
      </w:r>
      <w:r w:rsidR="00DD326A" w:rsidRPr="00477CFC">
        <w:rPr>
          <w:rFonts w:ascii="Arial" w:hAnsi="Arial" w:cs="Arial"/>
        </w:rPr>
        <w:t>, th</w:t>
      </w:r>
      <w:r w:rsidRPr="00477CFC">
        <w:rPr>
          <w:rFonts w:ascii="Arial" w:hAnsi="Arial" w:cs="Arial"/>
        </w:rPr>
        <w:t>e average</w:t>
      </w:r>
      <w:r w:rsidR="0001710D" w:rsidRPr="00477CFC">
        <w:rPr>
          <w:rFonts w:ascii="Arial" w:hAnsi="Arial" w:cs="Arial"/>
        </w:rPr>
        <w:t xml:space="preserve"> increases from about $29,</w:t>
      </w:r>
      <w:r w:rsidR="00021AD8" w:rsidRPr="00477CFC">
        <w:rPr>
          <w:rFonts w:ascii="Arial" w:hAnsi="Arial" w:cs="Arial"/>
        </w:rPr>
        <w:t>7</w:t>
      </w:r>
      <w:r w:rsidR="0001710D" w:rsidRPr="00477CFC">
        <w:rPr>
          <w:rFonts w:ascii="Arial" w:hAnsi="Arial" w:cs="Arial"/>
        </w:rPr>
        <w:t xml:space="preserve">00 </w:t>
      </w:r>
      <w:r w:rsidR="00162668" w:rsidRPr="00477CFC">
        <w:rPr>
          <w:rFonts w:ascii="Arial" w:hAnsi="Arial" w:cs="Arial"/>
        </w:rPr>
        <w:t xml:space="preserve">in </w:t>
      </w:r>
      <w:r w:rsidRPr="00477CFC">
        <w:rPr>
          <w:rFonts w:ascii="Arial" w:hAnsi="Arial" w:cs="Arial"/>
        </w:rPr>
        <w:t xml:space="preserve">2000, </w:t>
      </w:r>
      <w:r w:rsidR="0001710D" w:rsidRPr="00477CFC">
        <w:rPr>
          <w:rFonts w:ascii="Arial" w:hAnsi="Arial" w:cs="Arial"/>
        </w:rPr>
        <w:t xml:space="preserve">to $137,000 </w:t>
      </w:r>
      <w:r w:rsidRPr="00477CFC">
        <w:rPr>
          <w:rFonts w:ascii="Arial" w:hAnsi="Arial" w:cs="Arial"/>
        </w:rPr>
        <w:t xml:space="preserve">in 2020, </w:t>
      </w:r>
      <w:r w:rsidR="0001710D" w:rsidRPr="00477CFC">
        <w:rPr>
          <w:rFonts w:ascii="Arial" w:hAnsi="Arial" w:cs="Arial"/>
        </w:rPr>
        <w:t>to $452,000 by</w:t>
      </w:r>
      <w:r w:rsidRPr="00477CFC">
        <w:rPr>
          <w:rFonts w:ascii="Arial" w:hAnsi="Arial" w:cs="Arial"/>
        </w:rPr>
        <w:t xml:space="preserve"> 2040.</w:t>
      </w:r>
      <w:r w:rsidR="00DD326A" w:rsidRPr="00477CFC">
        <w:rPr>
          <w:rFonts w:ascii="Arial" w:hAnsi="Arial" w:cs="Arial"/>
        </w:rPr>
        <w:t xml:space="preserve">  Assuming the historical rate of return on equities less 300 basis points,</w:t>
      </w:r>
      <w:r w:rsidR="0001710D" w:rsidRPr="00477CFC">
        <w:rPr>
          <w:rFonts w:ascii="Arial" w:hAnsi="Arial" w:cs="Arial"/>
        </w:rPr>
        <w:t xml:space="preserve"> the average increases from $29,</w:t>
      </w:r>
      <w:r w:rsidR="00021AD8" w:rsidRPr="00477CFC">
        <w:rPr>
          <w:rFonts w:ascii="Arial" w:hAnsi="Arial" w:cs="Arial"/>
        </w:rPr>
        <w:t>7</w:t>
      </w:r>
      <w:r w:rsidR="0001710D" w:rsidRPr="00477CFC">
        <w:rPr>
          <w:rFonts w:ascii="Arial" w:hAnsi="Arial" w:cs="Arial"/>
        </w:rPr>
        <w:t>00 in 2000 to $269,000 by 2040.</w:t>
      </w:r>
      <w:r w:rsidRPr="00477CFC">
        <w:rPr>
          <w:rFonts w:ascii="Arial" w:hAnsi="Arial" w:cs="Arial"/>
        </w:rPr>
        <w:t xml:space="preserve">  The</w:t>
      </w:r>
      <w:r w:rsidR="00843BBC" w:rsidRPr="00477CFC">
        <w:rPr>
          <w:rFonts w:ascii="Arial" w:hAnsi="Arial" w:cs="Arial"/>
        </w:rPr>
        <w:t xml:space="preserve"> projected</w:t>
      </w:r>
      <w:r w:rsidRPr="00477CFC">
        <w:rPr>
          <w:rFonts w:ascii="Arial" w:hAnsi="Arial" w:cs="Arial"/>
        </w:rPr>
        <w:t xml:space="preserve"> increase is due to the increase in the participation rates </w:t>
      </w:r>
      <w:r w:rsidR="00DD326A" w:rsidRPr="00477CFC">
        <w:rPr>
          <w:rFonts w:ascii="Arial" w:hAnsi="Arial" w:cs="Arial"/>
        </w:rPr>
        <w:t>of</w:t>
      </w:r>
      <w:r w:rsidRPr="00477CFC">
        <w:rPr>
          <w:rFonts w:ascii="Arial" w:hAnsi="Arial" w:cs="Arial"/>
        </w:rPr>
        <w:t xml:space="preserve"> </w:t>
      </w:r>
      <w:r w:rsidR="00DD326A" w:rsidRPr="00477CFC">
        <w:rPr>
          <w:rFonts w:ascii="Arial" w:hAnsi="Arial" w:cs="Arial"/>
        </w:rPr>
        <w:t xml:space="preserve">younger </w:t>
      </w:r>
      <w:r w:rsidRPr="00477CFC">
        <w:rPr>
          <w:rFonts w:ascii="Arial" w:hAnsi="Arial" w:cs="Arial"/>
        </w:rPr>
        <w:t xml:space="preserve">cohorts and to the increase in the number of years that 401(k) </w:t>
      </w:r>
      <w:r w:rsidR="00DD326A" w:rsidRPr="00477CFC">
        <w:rPr>
          <w:rFonts w:ascii="Arial" w:hAnsi="Arial" w:cs="Arial"/>
        </w:rPr>
        <w:t xml:space="preserve">contributions were possible for </w:t>
      </w:r>
      <w:r w:rsidRPr="00477CFC">
        <w:rPr>
          <w:rFonts w:ascii="Arial" w:hAnsi="Arial" w:cs="Arial"/>
        </w:rPr>
        <w:t>successiv</w:t>
      </w:r>
      <w:r w:rsidR="00DD326A" w:rsidRPr="00477CFC">
        <w:rPr>
          <w:rFonts w:ascii="Arial" w:hAnsi="Arial" w:cs="Arial"/>
        </w:rPr>
        <w:t>ely younger</w:t>
      </w:r>
      <w:r w:rsidRPr="00477CFC">
        <w:rPr>
          <w:rFonts w:ascii="Arial" w:hAnsi="Arial" w:cs="Arial"/>
        </w:rPr>
        <w:t xml:space="preserve"> cohorts.  The 401(k) program effectively began in 1982 so cohorts retiring before 2020 could only make contributions over part of their working li</w:t>
      </w:r>
      <w:r w:rsidR="004F10C5" w:rsidRPr="00477CFC">
        <w:rPr>
          <w:rFonts w:ascii="Arial" w:hAnsi="Arial" w:cs="Arial"/>
        </w:rPr>
        <w:t>ves</w:t>
      </w:r>
      <w:r w:rsidRPr="00477CFC">
        <w:rPr>
          <w:rFonts w:ascii="Arial" w:hAnsi="Arial" w:cs="Arial"/>
        </w:rPr>
        <w:t>.  Pers</w:t>
      </w:r>
      <w:r w:rsidR="00C2470C" w:rsidRPr="00477CFC">
        <w:rPr>
          <w:rFonts w:ascii="Arial" w:hAnsi="Arial" w:cs="Arial"/>
        </w:rPr>
        <w:t>ons who attained age 65 in 2000</w:t>
      </w:r>
      <w:r w:rsidRPr="00477CFC">
        <w:rPr>
          <w:rFonts w:ascii="Arial" w:hAnsi="Arial" w:cs="Arial"/>
        </w:rPr>
        <w:t xml:space="preserve"> </w:t>
      </w:r>
      <w:r w:rsidR="004F10C5" w:rsidRPr="00477CFC">
        <w:rPr>
          <w:rFonts w:ascii="Arial" w:hAnsi="Arial" w:cs="Arial"/>
        </w:rPr>
        <w:t>could</w:t>
      </w:r>
      <w:r w:rsidRPr="00477CFC">
        <w:rPr>
          <w:rFonts w:ascii="Arial" w:hAnsi="Arial" w:cs="Arial"/>
        </w:rPr>
        <w:t xml:space="preserve"> have contributed to a 401(k) plan for at most 18 years.  </w:t>
      </w:r>
      <w:r w:rsidR="004F10C5" w:rsidRPr="00477CFC">
        <w:rPr>
          <w:rFonts w:ascii="Arial" w:hAnsi="Arial" w:cs="Arial"/>
        </w:rPr>
        <w:t xml:space="preserve">For the cohort that will attain age 65 in 2040, 401(k) plans will have been available over the entire working </w:t>
      </w:r>
      <w:r w:rsidR="00514232" w:rsidRPr="00477CFC">
        <w:rPr>
          <w:rFonts w:ascii="Arial" w:hAnsi="Arial" w:cs="Arial"/>
        </w:rPr>
        <w:t>life</w:t>
      </w:r>
      <w:r w:rsidR="004F10C5" w:rsidRPr="00477CFC">
        <w:rPr>
          <w:rFonts w:ascii="Arial" w:hAnsi="Arial" w:cs="Arial"/>
        </w:rPr>
        <w:t>.</w:t>
      </w:r>
      <w:r w:rsidR="00474544" w:rsidRPr="00477CFC">
        <w:rPr>
          <w:rFonts w:ascii="Arial" w:hAnsi="Arial" w:cs="Arial"/>
        </w:rPr>
        <w:tab/>
      </w:r>
    </w:p>
    <w:p w:rsidR="00FE1325" w:rsidRPr="00477CFC" w:rsidRDefault="00AF2C36" w:rsidP="00AE6D70">
      <w:pPr>
        <w:tabs>
          <w:tab w:val="left" w:pos="-180"/>
          <w:tab w:val="left" w:pos="1080"/>
          <w:tab w:val="left" w:pos="1800"/>
          <w:tab w:val="left" w:pos="2520"/>
          <w:tab w:val="left" w:pos="2880"/>
        </w:tabs>
        <w:rPr>
          <w:rFonts w:ascii="Arial" w:hAnsi="Arial" w:cs="Arial"/>
        </w:rPr>
      </w:pPr>
      <w:r>
        <w:rPr>
          <w:noProof/>
        </w:rPr>
        <w:drawing>
          <wp:inline distT="0" distB="0" distL="0" distR="0">
            <wp:extent cx="5486400" cy="3738245"/>
            <wp:effectExtent l="0" t="0" r="0" b="0"/>
            <wp:docPr id="48" name="Picture 48" descr="Figure 3-1 Average 401(k) assets at age 65, by year of retirement, all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gure 3-1 Average 401(k) assets at age 65, by year of retirement, all persons"/>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r w:rsidR="00A806EF" w:rsidRPr="00477CFC">
        <w:rPr>
          <w:rFonts w:ascii="Arial" w:hAnsi="Arial" w:cs="Arial"/>
        </w:rPr>
        <w:tab/>
      </w:r>
    </w:p>
    <w:p w:rsidR="0001710D"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lastRenderedPageBreak/>
        <w:drawing>
          <wp:inline distT="0" distB="0" distL="0" distR="0">
            <wp:extent cx="5486400" cy="3738245"/>
            <wp:effectExtent l="0" t="0" r="0" b="0"/>
            <wp:docPr id="49" name="Picture 49" descr="Figure 3-2 Average 401(k) assets at age 65 for persons with 401(k) by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igure 3-2 Average 401(k) assets at age 65 for persons with 401(k) by cohort"/>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01710D" w:rsidRPr="00477CFC" w:rsidRDefault="0001710D"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C67CA1" w:rsidRPr="00477CFC" w:rsidRDefault="00C67CA1"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C67CA1" w:rsidRPr="00477CFC" w:rsidRDefault="00C67CA1"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Figure 3-2 shows the average of 401(k) assets at retirement for persons who have 401(k) plans.  For persons with plans, the average increases from about $87,000 in 2000</w:t>
      </w:r>
      <w:r w:rsidR="00E812A2" w:rsidRPr="00477CFC">
        <w:rPr>
          <w:rFonts w:ascii="Arial" w:hAnsi="Arial" w:cs="Arial"/>
        </w:rPr>
        <w:t xml:space="preserve"> to</w:t>
      </w:r>
      <w:r w:rsidRPr="00477CFC">
        <w:rPr>
          <w:rFonts w:ascii="Arial" w:hAnsi="Arial" w:cs="Arial"/>
        </w:rPr>
        <w:t xml:space="preserve"> $580,000 by 2040</w:t>
      </w:r>
      <w:r w:rsidR="00095DF0" w:rsidRPr="00477CFC">
        <w:rPr>
          <w:rFonts w:ascii="Arial" w:hAnsi="Arial" w:cs="Arial"/>
        </w:rPr>
        <w:t xml:space="preserve"> (in 2000 dollars)</w:t>
      </w:r>
      <w:r w:rsidRPr="00477CFC">
        <w:rPr>
          <w:rFonts w:ascii="Arial" w:hAnsi="Arial" w:cs="Arial"/>
        </w:rPr>
        <w:t xml:space="preserve"> assuming historical rates of equity returns to and $335,000 assuming historical returns less 300 basis points.</w:t>
      </w:r>
    </w:p>
    <w:p w:rsidR="00567A64"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lastRenderedPageBreak/>
        <w:drawing>
          <wp:inline distT="0" distB="0" distL="0" distR="0">
            <wp:extent cx="5486400" cy="3738245"/>
            <wp:effectExtent l="0" t="0" r="0" b="0"/>
            <wp:docPr id="50" name="Picture 50" descr="Figure 3-3 Average 401(k) assets at age 65 and the PV of DB benefits at age 65 all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igure 3-3 Average 401(k) assets at age 65 and the PV of DB benefits at age 65 all persons"/>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C67CA1" w:rsidRPr="00477CFC" w:rsidRDefault="00C67CA1"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t>For comparison, the maximum average (over all persons) of the present value of DB benefits at age 65 was about $73,000, attained in 2003.  Thereafter benefits in DB plans decline, based on the projections in Poterba, Venti, a</w:t>
      </w:r>
      <w:r w:rsidR="00162668" w:rsidRPr="00477CFC">
        <w:rPr>
          <w:rFonts w:ascii="Arial" w:hAnsi="Arial" w:cs="Arial"/>
        </w:rPr>
        <w:t>nd Wise (200</w:t>
      </w:r>
      <w:r w:rsidR="00E812A2" w:rsidRPr="00477CFC">
        <w:rPr>
          <w:rFonts w:ascii="Arial" w:hAnsi="Arial" w:cs="Arial"/>
        </w:rPr>
        <w:t>7a</w:t>
      </w:r>
      <w:r w:rsidR="00162668" w:rsidRPr="00477CFC">
        <w:rPr>
          <w:rFonts w:ascii="Arial" w:hAnsi="Arial" w:cs="Arial"/>
        </w:rPr>
        <w:t xml:space="preserve">). </w:t>
      </w:r>
      <w:r w:rsidRPr="00477CFC">
        <w:rPr>
          <w:rFonts w:ascii="Arial" w:hAnsi="Arial" w:cs="Arial"/>
        </w:rPr>
        <w:t xml:space="preserve"> The comparison is shown in detail in Figure 3-3 that is the same as Figure 3-1 but with the addition of the DB projections.</w:t>
      </w:r>
      <w:r w:rsidR="00567A64" w:rsidRPr="00477CFC">
        <w:rPr>
          <w:rFonts w:ascii="Arial" w:hAnsi="Arial" w:cs="Arial"/>
        </w:rPr>
        <w:t xml:space="preserve"> </w:t>
      </w:r>
    </w:p>
    <w:p w:rsidR="002B01E1" w:rsidRPr="00477CFC" w:rsidRDefault="002B01E1"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2213BF" w:rsidRPr="00477CFC" w:rsidRDefault="002213BF"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r w:rsidRPr="00477CFC">
        <w:rPr>
          <w:rFonts w:ascii="Arial" w:hAnsi="Arial" w:cs="Arial"/>
        </w:rPr>
        <w:tab/>
        <w:t xml:space="preserve">To check our projection algorithm, we compared our estimate of the mean 401(k) assets of persons who attained age 65 in 2000 with the mean 401(k) assets of HRS respondents </w:t>
      </w:r>
      <w:r w:rsidR="002058E7" w:rsidRPr="00477CFC">
        <w:rPr>
          <w:rFonts w:ascii="Arial" w:hAnsi="Arial" w:cs="Arial"/>
        </w:rPr>
        <w:t>between the ages of 63 and 67</w:t>
      </w:r>
      <w:r w:rsidRPr="00477CFC">
        <w:rPr>
          <w:rFonts w:ascii="Arial" w:hAnsi="Arial" w:cs="Arial"/>
        </w:rPr>
        <w:t xml:space="preserve"> in 2000.  The HRS mean is $</w:t>
      </w:r>
      <w:r w:rsidR="002058E7" w:rsidRPr="00477CFC">
        <w:rPr>
          <w:rFonts w:ascii="Arial" w:hAnsi="Arial" w:cs="Arial"/>
        </w:rPr>
        <w:t>25,892</w:t>
      </w:r>
      <w:r w:rsidRPr="00477CFC">
        <w:rPr>
          <w:rFonts w:ascii="Arial" w:hAnsi="Arial" w:cs="Arial"/>
        </w:rPr>
        <w:t>, compared to our projected mean of $</w:t>
      </w:r>
      <w:r w:rsidR="002058E7" w:rsidRPr="00477CFC">
        <w:rPr>
          <w:rFonts w:ascii="Arial" w:hAnsi="Arial" w:cs="Arial"/>
        </w:rPr>
        <w:t>29,708</w:t>
      </w:r>
      <w:r w:rsidR="00021AD8" w:rsidRPr="00477CFC">
        <w:rPr>
          <w:rFonts w:ascii="Arial" w:hAnsi="Arial" w:cs="Arial"/>
        </w:rPr>
        <w:t>.</w:t>
      </w:r>
      <w:r w:rsidR="002B1A1D" w:rsidRPr="00477CFC">
        <w:rPr>
          <w:rFonts w:ascii="Arial" w:hAnsi="Arial" w:cs="Arial"/>
        </w:rPr>
        <w:t xml:space="preserve">  </w:t>
      </w:r>
      <w:r w:rsidR="00021AD8" w:rsidRPr="00477CFC">
        <w:rPr>
          <w:rFonts w:ascii="Arial" w:hAnsi="Arial" w:cs="Arial"/>
        </w:rPr>
        <w:t>However, the</w:t>
      </w:r>
      <w:r w:rsidR="002B1A1D" w:rsidRPr="00477CFC">
        <w:rPr>
          <w:rFonts w:ascii="Arial" w:hAnsi="Arial" w:cs="Arial"/>
        </w:rPr>
        <w:t xml:space="preserve"> mean</w:t>
      </w:r>
      <w:r w:rsidR="00021AD8" w:rsidRPr="00477CFC">
        <w:rPr>
          <w:rFonts w:ascii="Arial" w:hAnsi="Arial" w:cs="Arial"/>
        </w:rPr>
        <w:t xml:space="preserve"> 401(k) balance in the HRS</w:t>
      </w:r>
      <w:r w:rsidR="002B1A1D" w:rsidRPr="00477CFC">
        <w:rPr>
          <w:rFonts w:ascii="Arial" w:hAnsi="Arial" w:cs="Arial"/>
        </w:rPr>
        <w:t xml:space="preserve"> </w:t>
      </w:r>
      <w:r w:rsidR="00021AD8" w:rsidRPr="00477CFC">
        <w:rPr>
          <w:rFonts w:ascii="Arial" w:hAnsi="Arial" w:cs="Arial"/>
        </w:rPr>
        <w:t>excludes</w:t>
      </w:r>
      <w:r w:rsidR="002B1A1D" w:rsidRPr="00477CFC">
        <w:rPr>
          <w:rFonts w:ascii="Arial" w:hAnsi="Arial" w:cs="Arial"/>
        </w:rPr>
        <w:t xml:space="preserve"> </w:t>
      </w:r>
      <w:r w:rsidR="00021AD8" w:rsidRPr="00477CFC">
        <w:rPr>
          <w:rFonts w:ascii="Arial" w:hAnsi="Arial" w:cs="Arial"/>
        </w:rPr>
        <w:t>amounts that were originally accumulated in 401(k)</w:t>
      </w:r>
      <w:r w:rsidR="003B42E9" w:rsidRPr="00477CFC">
        <w:rPr>
          <w:rFonts w:ascii="Arial" w:hAnsi="Arial" w:cs="Arial"/>
        </w:rPr>
        <w:t xml:space="preserve"> plan</w:t>
      </w:r>
      <w:r w:rsidR="00021AD8" w:rsidRPr="00477CFC">
        <w:rPr>
          <w:rFonts w:ascii="Arial" w:hAnsi="Arial" w:cs="Arial"/>
        </w:rPr>
        <w:t xml:space="preserve">s but later rolled into IRAs; our projected 401(k) balance includes amounts </w:t>
      </w:r>
      <w:r w:rsidR="003B42E9" w:rsidRPr="00477CFC">
        <w:rPr>
          <w:rFonts w:ascii="Arial" w:hAnsi="Arial" w:cs="Arial"/>
        </w:rPr>
        <w:t xml:space="preserve">that were </w:t>
      </w:r>
      <w:r w:rsidR="00021AD8" w:rsidRPr="00477CFC">
        <w:rPr>
          <w:rFonts w:ascii="Arial" w:hAnsi="Arial" w:cs="Arial"/>
        </w:rPr>
        <w:t>rolled over</w:t>
      </w:r>
      <w:r w:rsidR="002B1A1D" w:rsidRPr="00477CFC">
        <w:rPr>
          <w:rFonts w:ascii="Arial" w:hAnsi="Arial" w:cs="Arial"/>
        </w:rPr>
        <w:t xml:space="preserve"> into an IRA.  </w:t>
      </w:r>
      <w:r w:rsidR="003D5F85" w:rsidRPr="00477CFC">
        <w:rPr>
          <w:rFonts w:ascii="Arial" w:hAnsi="Arial" w:cs="Arial"/>
        </w:rPr>
        <w:t>A large fraction of assets in IRA plans are “rollovers” from 401(k) plans.   Many new retirees “rollover” 401(k) assets into an IRA plan when they retire.  For example, 89 percent of flows into IRA accounts were rollovers in 1996, 89 percent in 1997, 93 percent in 1998, 95 percent in 1999, and 96 percent were rollovers in 2000.</w:t>
      </w:r>
      <w:r w:rsidR="003D5F85" w:rsidRPr="00477CFC">
        <w:rPr>
          <w:rStyle w:val="FootnoteReference"/>
          <w:rFonts w:ascii="Arial" w:hAnsi="Arial" w:cs="Arial"/>
        </w:rPr>
        <w:footnoteReference w:id="5"/>
      </w:r>
      <w:r w:rsidR="003D5F85" w:rsidRPr="00477CFC">
        <w:rPr>
          <w:rFonts w:ascii="Arial" w:hAnsi="Arial" w:cs="Arial"/>
        </w:rPr>
        <w:t xml:space="preserve">   </w:t>
      </w:r>
      <w:r w:rsidR="002B1A1D" w:rsidRPr="00477CFC">
        <w:rPr>
          <w:rFonts w:ascii="Arial" w:hAnsi="Arial" w:cs="Arial"/>
        </w:rPr>
        <w:t xml:space="preserve">Thus it appears that our projection is quite plausible compared to the HRS mean.  </w:t>
      </w:r>
    </w:p>
    <w:p w:rsidR="00697E6A" w:rsidRPr="00477CFC" w:rsidRDefault="00697E6A"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p>
    <w:p w:rsidR="00D5026E" w:rsidRPr="00477CFC" w:rsidRDefault="002213BF"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B960BF" w:rsidRPr="00477CFC">
        <w:rPr>
          <w:rFonts w:ascii="Arial" w:hAnsi="Arial" w:cs="Arial"/>
          <w:b/>
        </w:rPr>
        <w:t xml:space="preserve">Total 401(k) Assets by Year:  </w:t>
      </w:r>
      <w:r w:rsidR="00567A64" w:rsidRPr="00477CFC">
        <w:rPr>
          <w:rFonts w:ascii="Arial" w:hAnsi="Arial" w:cs="Arial"/>
        </w:rPr>
        <w:t>Figure 3-4 shows the total value of assets in 401(k) plans by year</w:t>
      </w:r>
      <w:r w:rsidR="002561C7" w:rsidRPr="00477CFC">
        <w:rPr>
          <w:rFonts w:ascii="Arial" w:hAnsi="Arial" w:cs="Arial"/>
        </w:rPr>
        <w:t>.</w:t>
      </w:r>
      <w:r w:rsidR="00E6209A" w:rsidRPr="00477CFC">
        <w:rPr>
          <w:rFonts w:ascii="Arial" w:hAnsi="Arial" w:cs="Arial"/>
        </w:rPr>
        <w:t xml:space="preserve">  Assuming the historical rate of equity return</w:t>
      </w:r>
      <w:r w:rsidR="004709E2" w:rsidRPr="00477CFC">
        <w:rPr>
          <w:rFonts w:ascii="Arial" w:hAnsi="Arial" w:cs="Arial"/>
        </w:rPr>
        <w:t>,</w:t>
      </w:r>
      <w:r w:rsidR="00E6209A" w:rsidRPr="00477CFC">
        <w:rPr>
          <w:rFonts w:ascii="Arial" w:hAnsi="Arial" w:cs="Arial"/>
        </w:rPr>
        <w:t xml:space="preserve"> the to</w:t>
      </w:r>
      <w:r w:rsidR="004709E2" w:rsidRPr="00477CFC">
        <w:rPr>
          <w:rFonts w:ascii="Arial" w:hAnsi="Arial" w:cs="Arial"/>
        </w:rPr>
        <w:t>tal reaches $36.2 trillion</w:t>
      </w:r>
      <w:r w:rsidR="00E6209A" w:rsidRPr="00477CFC">
        <w:rPr>
          <w:rFonts w:ascii="Arial" w:hAnsi="Arial" w:cs="Arial"/>
        </w:rPr>
        <w:t xml:space="preserve"> by 2040 and grows to </w:t>
      </w:r>
      <w:r w:rsidR="004709E2" w:rsidRPr="00477CFC">
        <w:rPr>
          <w:rFonts w:ascii="Arial" w:hAnsi="Arial" w:cs="Arial"/>
        </w:rPr>
        <w:t>$22.8 trillion</w:t>
      </w:r>
      <w:r w:rsidR="00E6209A" w:rsidRPr="00477CFC">
        <w:rPr>
          <w:rFonts w:ascii="Arial" w:hAnsi="Arial" w:cs="Arial"/>
        </w:rPr>
        <w:t xml:space="preserve"> assuming historical returns less 300 basis points</w:t>
      </w:r>
      <w:r w:rsidR="004709E2" w:rsidRPr="00477CFC">
        <w:rPr>
          <w:rFonts w:ascii="Arial" w:hAnsi="Arial" w:cs="Arial"/>
        </w:rPr>
        <w:t xml:space="preserve"> (both in year 2000 dollars)</w:t>
      </w:r>
      <w:r w:rsidR="00E6209A" w:rsidRPr="00477CFC">
        <w:rPr>
          <w:rFonts w:ascii="Arial" w:hAnsi="Arial" w:cs="Arial"/>
        </w:rPr>
        <w:t>.</w:t>
      </w:r>
      <w:r w:rsidR="002561C7" w:rsidRPr="00477CFC">
        <w:rPr>
          <w:rFonts w:ascii="Arial" w:hAnsi="Arial" w:cs="Arial"/>
        </w:rPr>
        <w:t xml:space="preserve">  </w:t>
      </w:r>
      <w:r w:rsidR="00E37542" w:rsidRPr="00477CFC">
        <w:rPr>
          <w:rFonts w:ascii="Arial" w:hAnsi="Arial" w:cs="Arial"/>
        </w:rPr>
        <w:t xml:space="preserve">Thus these projections </w:t>
      </w:r>
      <w:r w:rsidR="00E37542" w:rsidRPr="00477CFC">
        <w:rPr>
          <w:rFonts w:ascii="Arial" w:hAnsi="Arial" w:cs="Arial"/>
        </w:rPr>
        <w:lastRenderedPageBreak/>
        <w:t xml:space="preserve">suggest a very substantial increase </w:t>
      </w:r>
      <w:r w:rsidR="000801D8" w:rsidRPr="00477CFC">
        <w:rPr>
          <w:rFonts w:ascii="Arial" w:hAnsi="Arial" w:cs="Arial"/>
        </w:rPr>
        <w:t xml:space="preserve">in </w:t>
      </w:r>
      <w:r w:rsidR="00E37542" w:rsidRPr="00477CFC">
        <w:rPr>
          <w:rFonts w:ascii="Arial" w:hAnsi="Arial" w:cs="Arial"/>
        </w:rPr>
        <w:t xml:space="preserve">retirement saving over the coming decades. </w:t>
      </w:r>
      <w:r w:rsidR="002561C7" w:rsidRPr="00477CFC">
        <w:rPr>
          <w:rFonts w:ascii="Arial" w:hAnsi="Arial" w:cs="Arial"/>
        </w:rPr>
        <w:t xml:space="preserve">To place these values in a broader economic context, </w:t>
      </w:r>
      <w:r w:rsidR="00E6209A" w:rsidRPr="00477CFC">
        <w:rPr>
          <w:rFonts w:ascii="Arial" w:hAnsi="Arial" w:cs="Arial"/>
        </w:rPr>
        <w:t>Figure 3-5</w:t>
      </w:r>
      <w:r w:rsidR="00D5026E" w:rsidRPr="00477CFC">
        <w:rPr>
          <w:rFonts w:ascii="Arial" w:hAnsi="Arial" w:cs="Arial"/>
        </w:rPr>
        <w:t xml:space="preserve"> shows the total value of 401(k) assets as a proportion of the Social Security Administration intermediate projections of future GDP, also in year 2000 dollars.  Total 401(k) assets grow from </w:t>
      </w:r>
      <w:r w:rsidR="003D5F85" w:rsidRPr="00477CFC">
        <w:rPr>
          <w:rFonts w:ascii="Arial" w:hAnsi="Arial" w:cs="Arial"/>
        </w:rPr>
        <w:t xml:space="preserve">essentially </w:t>
      </w:r>
      <w:r w:rsidR="00FC7651" w:rsidRPr="00477CFC">
        <w:rPr>
          <w:rFonts w:ascii="Arial" w:hAnsi="Arial" w:cs="Arial"/>
        </w:rPr>
        <w:t>zero</w:t>
      </w:r>
      <w:r w:rsidR="00D5026E" w:rsidRPr="00477CFC">
        <w:rPr>
          <w:rFonts w:ascii="Arial" w:hAnsi="Arial" w:cs="Arial"/>
        </w:rPr>
        <w:t xml:space="preserve"> percent of GDP in 198</w:t>
      </w:r>
      <w:r w:rsidR="00FC7651" w:rsidRPr="00477CFC">
        <w:rPr>
          <w:rFonts w:ascii="Arial" w:hAnsi="Arial" w:cs="Arial"/>
        </w:rPr>
        <w:t>2</w:t>
      </w:r>
      <w:r w:rsidR="00D5026E" w:rsidRPr="00477CFC">
        <w:rPr>
          <w:rFonts w:ascii="Arial" w:hAnsi="Arial" w:cs="Arial"/>
        </w:rPr>
        <w:t xml:space="preserve"> to</w:t>
      </w:r>
      <w:r w:rsidR="00FC7651" w:rsidRPr="00477CFC">
        <w:rPr>
          <w:rFonts w:ascii="Arial" w:hAnsi="Arial" w:cs="Arial"/>
        </w:rPr>
        <w:t xml:space="preserve"> about 38 percent of GDP in 2005.  </w:t>
      </w:r>
      <w:r w:rsidR="003D5F85" w:rsidRPr="00477CFC">
        <w:rPr>
          <w:rFonts w:ascii="Arial" w:hAnsi="Arial" w:cs="Arial"/>
        </w:rPr>
        <w:t xml:space="preserve"> Our projections indicate that </w:t>
      </w:r>
      <w:r w:rsidR="00FC7651" w:rsidRPr="00477CFC">
        <w:rPr>
          <w:rFonts w:ascii="Arial" w:hAnsi="Arial" w:cs="Arial"/>
        </w:rPr>
        <w:t xml:space="preserve">401(k) assets continue </w:t>
      </w:r>
      <w:r w:rsidR="003D5F85" w:rsidRPr="00477CFC">
        <w:rPr>
          <w:rFonts w:ascii="Arial" w:hAnsi="Arial" w:cs="Arial"/>
        </w:rPr>
        <w:t xml:space="preserve">to increase </w:t>
      </w:r>
      <w:r w:rsidR="00FC7651" w:rsidRPr="00477CFC">
        <w:rPr>
          <w:rFonts w:ascii="Arial" w:hAnsi="Arial" w:cs="Arial"/>
        </w:rPr>
        <w:t>after 2005, reaching 155</w:t>
      </w:r>
      <w:r w:rsidR="00D5026E" w:rsidRPr="00477CFC">
        <w:rPr>
          <w:rFonts w:ascii="Arial" w:hAnsi="Arial" w:cs="Arial"/>
        </w:rPr>
        <w:t xml:space="preserve"> percent</w:t>
      </w:r>
      <w:r w:rsidR="00FC7651" w:rsidRPr="00477CFC">
        <w:rPr>
          <w:rFonts w:ascii="Arial" w:hAnsi="Arial" w:cs="Arial"/>
        </w:rPr>
        <w:t xml:space="preserve"> of GDP</w:t>
      </w:r>
      <w:r w:rsidR="003D5F85" w:rsidRPr="00477CFC">
        <w:rPr>
          <w:rFonts w:ascii="Arial" w:hAnsi="Arial" w:cs="Arial"/>
        </w:rPr>
        <w:t xml:space="preserve"> in 2040</w:t>
      </w:r>
      <w:r w:rsidR="00D5026E" w:rsidRPr="00477CFC">
        <w:rPr>
          <w:rFonts w:ascii="Arial" w:hAnsi="Arial" w:cs="Arial"/>
        </w:rPr>
        <w:t xml:space="preserve"> assuming historical equity return</w:t>
      </w:r>
      <w:r w:rsidR="00FC7651" w:rsidRPr="00477CFC">
        <w:rPr>
          <w:rFonts w:ascii="Arial" w:hAnsi="Arial" w:cs="Arial"/>
        </w:rPr>
        <w:t>s and</w:t>
      </w:r>
      <w:r w:rsidR="00D5026E" w:rsidRPr="00477CFC">
        <w:rPr>
          <w:rFonts w:ascii="Arial" w:hAnsi="Arial" w:cs="Arial"/>
        </w:rPr>
        <w:t xml:space="preserve"> </w:t>
      </w:r>
      <w:r w:rsidR="00FC7651" w:rsidRPr="00477CFC">
        <w:rPr>
          <w:rFonts w:ascii="Arial" w:hAnsi="Arial" w:cs="Arial"/>
        </w:rPr>
        <w:t>98</w:t>
      </w:r>
      <w:r w:rsidR="00D5026E" w:rsidRPr="00477CFC">
        <w:rPr>
          <w:rFonts w:ascii="Arial" w:hAnsi="Arial" w:cs="Arial"/>
        </w:rPr>
        <w:t xml:space="preserve"> percent</w:t>
      </w:r>
      <w:r w:rsidR="00FC7651" w:rsidRPr="00477CFC">
        <w:rPr>
          <w:rFonts w:ascii="Arial" w:hAnsi="Arial" w:cs="Arial"/>
        </w:rPr>
        <w:t xml:space="preserve"> of GDP</w:t>
      </w:r>
      <w:r w:rsidR="00D5026E" w:rsidRPr="00477CFC">
        <w:rPr>
          <w:rFonts w:ascii="Arial" w:hAnsi="Arial" w:cs="Arial"/>
        </w:rPr>
        <w:t xml:space="preserve"> assuming the historical equity return less 300 basis points.</w:t>
      </w:r>
      <w:r w:rsidR="003D5F85" w:rsidRPr="00477CFC">
        <w:rPr>
          <w:rFonts w:ascii="Arial" w:hAnsi="Arial" w:cs="Arial"/>
        </w:rPr>
        <w:t xml:space="preserve">  B</w:t>
      </w:r>
      <w:r w:rsidR="00E37542" w:rsidRPr="00477CFC">
        <w:rPr>
          <w:rFonts w:ascii="Arial" w:hAnsi="Arial" w:cs="Arial"/>
        </w:rPr>
        <w:t>oth projections show a slowdown in the rate of 401(k) asset growth relative to GDP following the retirement of the last of the baby boom cohorts</w:t>
      </w:r>
      <w:r w:rsidR="003D5F85" w:rsidRPr="00477CFC">
        <w:rPr>
          <w:rFonts w:ascii="Arial" w:hAnsi="Arial" w:cs="Arial"/>
        </w:rPr>
        <w:t xml:space="preserve"> around </w:t>
      </w:r>
      <w:r w:rsidR="00E37542" w:rsidRPr="00477CFC">
        <w:rPr>
          <w:rFonts w:ascii="Arial" w:hAnsi="Arial" w:cs="Arial"/>
        </w:rPr>
        <w:t>2030.</w:t>
      </w:r>
    </w:p>
    <w:p w:rsidR="00D5026E"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drawing>
          <wp:inline distT="0" distB="0" distL="0" distR="0">
            <wp:extent cx="5486400" cy="3738245"/>
            <wp:effectExtent l="0" t="0" r="0" b="0"/>
            <wp:docPr id="51" name="Picture 51" descr="Figure 3-4 Projected 401(k) assets b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gure 3-4 Projected 401(k) assets by year"/>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D5026E" w:rsidRPr="00477CFC" w:rsidRDefault="00D5026E"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0756E1" w:rsidRPr="00477CFC" w:rsidRDefault="00AF2C36" w:rsidP="00AE6D70">
      <w:pPr>
        <w:tabs>
          <w:tab w:val="left" w:pos="-180"/>
          <w:tab w:val="left" w:pos="720"/>
          <w:tab w:val="left" w:pos="1080"/>
          <w:tab w:val="left" w:pos="1440"/>
          <w:tab w:val="left" w:pos="1800"/>
          <w:tab w:val="left" w:pos="2160"/>
          <w:tab w:val="left" w:pos="2520"/>
          <w:tab w:val="left" w:pos="2880"/>
        </w:tabs>
      </w:pPr>
      <w:r>
        <w:rPr>
          <w:noProof/>
        </w:rPr>
        <w:lastRenderedPageBreak/>
        <w:drawing>
          <wp:inline distT="0" distB="0" distL="0" distR="0">
            <wp:extent cx="5486400" cy="3738245"/>
            <wp:effectExtent l="0" t="0" r="0" b="0"/>
            <wp:docPr id="52" name="Picture 52" descr="Figure 3-5 Ratio of projected 401(k) assets to projected GDP b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igure 3-5 Ratio of projected 401(k) assets to projected GDP by year"/>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3D5F85" w:rsidRPr="00477CFC" w:rsidRDefault="003D5F85" w:rsidP="00AE6D70">
      <w:pPr>
        <w:tabs>
          <w:tab w:val="left" w:pos="-180"/>
          <w:tab w:val="left" w:pos="720"/>
          <w:tab w:val="left" w:pos="1080"/>
          <w:tab w:val="left" w:pos="1440"/>
          <w:tab w:val="left" w:pos="1800"/>
          <w:tab w:val="left" w:pos="2160"/>
          <w:tab w:val="left" w:pos="2520"/>
          <w:tab w:val="left" w:pos="2880"/>
        </w:tabs>
      </w:pPr>
    </w:p>
    <w:p w:rsidR="003A3794" w:rsidRPr="00477CFC" w:rsidRDefault="00A00888" w:rsidP="00AE6D70">
      <w:pPr>
        <w:tabs>
          <w:tab w:val="left" w:pos="-180"/>
          <w:tab w:val="left" w:pos="720"/>
          <w:tab w:val="left" w:pos="1080"/>
          <w:tab w:val="left" w:pos="1440"/>
          <w:tab w:val="left" w:pos="1800"/>
          <w:tab w:val="left" w:pos="2160"/>
          <w:tab w:val="left" w:pos="2520"/>
          <w:tab w:val="left" w:pos="2880"/>
        </w:tabs>
        <w:rPr>
          <w:rFonts w:ascii="Arial" w:hAnsi="Arial" w:cs="Arial"/>
          <w:color w:val="FF0000"/>
        </w:rPr>
      </w:pPr>
      <w:r w:rsidRPr="00477CFC">
        <w:tab/>
      </w:r>
      <w:r w:rsidR="00BC6E1D" w:rsidRPr="00477CFC">
        <w:rPr>
          <w:rFonts w:ascii="Arial" w:hAnsi="Arial"/>
        </w:rPr>
        <w:t>The</w:t>
      </w:r>
      <w:r w:rsidR="003D5F85" w:rsidRPr="00477CFC">
        <w:rPr>
          <w:rFonts w:ascii="Arial" w:hAnsi="Arial"/>
        </w:rPr>
        <w:t xml:space="preserve"> rise in 401(k) saving and the decline in DB pension savings </w:t>
      </w:r>
      <w:r w:rsidR="00BC6E1D" w:rsidRPr="00477CFC">
        <w:rPr>
          <w:rFonts w:ascii="Arial" w:hAnsi="Arial"/>
        </w:rPr>
        <w:t>also</w:t>
      </w:r>
      <w:r w:rsidR="003D5F85" w:rsidRPr="00477CFC">
        <w:rPr>
          <w:rFonts w:ascii="Arial" w:hAnsi="Arial"/>
        </w:rPr>
        <w:t xml:space="preserve"> means that </w:t>
      </w:r>
      <w:r w:rsidR="00BC6E1D" w:rsidRPr="00477CFC">
        <w:rPr>
          <w:rFonts w:ascii="Arial" w:hAnsi="Arial"/>
        </w:rPr>
        <w:t>401(k) pensions will dominate the pension landscape in the future.</w:t>
      </w:r>
      <w:r w:rsidR="003D5F85" w:rsidRPr="00477CFC">
        <w:rPr>
          <w:rFonts w:ascii="Arial" w:hAnsi="Arial"/>
        </w:rPr>
        <w:t xml:space="preserve"> </w:t>
      </w:r>
      <w:r w:rsidR="00BC6E1D" w:rsidRPr="00477CFC">
        <w:rPr>
          <w:rFonts w:ascii="Arial" w:hAnsi="Arial"/>
        </w:rPr>
        <w:t xml:space="preserve"> </w:t>
      </w:r>
      <w:r w:rsidR="00D5026E" w:rsidRPr="00477CFC">
        <w:rPr>
          <w:rFonts w:ascii="Arial" w:hAnsi="Arial" w:cs="Arial"/>
        </w:rPr>
        <w:t xml:space="preserve">Figures 3-6 and 3-7 </w:t>
      </w:r>
      <w:r w:rsidR="00E6209A" w:rsidRPr="00477CFC">
        <w:rPr>
          <w:rFonts w:ascii="Arial" w:hAnsi="Arial" w:cs="Arial"/>
        </w:rPr>
        <w:t xml:space="preserve">show </w:t>
      </w:r>
      <w:r w:rsidR="002561C7" w:rsidRPr="00477CFC">
        <w:rPr>
          <w:rFonts w:ascii="Arial" w:hAnsi="Arial" w:cs="Arial"/>
        </w:rPr>
        <w:t xml:space="preserve">the value of 401(k) assets </w:t>
      </w:r>
      <w:r w:rsidR="00E6209A" w:rsidRPr="00477CFC">
        <w:rPr>
          <w:rFonts w:ascii="Arial" w:hAnsi="Arial" w:cs="Arial"/>
        </w:rPr>
        <w:t xml:space="preserve">together with </w:t>
      </w:r>
      <w:r w:rsidR="001F4901" w:rsidRPr="00477CFC">
        <w:rPr>
          <w:rFonts w:ascii="Arial" w:hAnsi="Arial" w:cs="Arial"/>
        </w:rPr>
        <w:t>projected assets held by DB plans</w:t>
      </w:r>
      <w:r w:rsidR="003D5F85" w:rsidRPr="00477CFC">
        <w:rPr>
          <w:rFonts w:ascii="Arial" w:hAnsi="Arial" w:cs="Arial"/>
        </w:rPr>
        <w:t xml:space="preserve">.  The DB projections are taken from </w:t>
      </w:r>
      <w:r w:rsidR="001F4901" w:rsidRPr="00477CFC">
        <w:rPr>
          <w:rFonts w:ascii="Arial" w:hAnsi="Arial" w:cs="Arial"/>
        </w:rPr>
        <w:t>Poterba, Venti, and Wise</w:t>
      </w:r>
      <w:r w:rsidR="003D5F85" w:rsidRPr="00477CFC">
        <w:rPr>
          <w:rFonts w:ascii="Arial" w:hAnsi="Arial" w:cs="Arial"/>
        </w:rPr>
        <w:t xml:space="preserve"> </w:t>
      </w:r>
      <w:r w:rsidR="001F4901" w:rsidRPr="00477CFC">
        <w:rPr>
          <w:rFonts w:ascii="Arial" w:hAnsi="Arial" w:cs="Arial"/>
        </w:rPr>
        <w:t>(200</w:t>
      </w:r>
      <w:r w:rsidR="00C87FC8" w:rsidRPr="00477CFC">
        <w:rPr>
          <w:rFonts w:ascii="Arial" w:hAnsi="Arial" w:cs="Arial"/>
        </w:rPr>
        <w:t>7</w:t>
      </w:r>
      <w:r w:rsidR="000801D8" w:rsidRPr="00477CFC">
        <w:rPr>
          <w:rFonts w:ascii="Arial" w:hAnsi="Arial" w:cs="Arial"/>
        </w:rPr>
        <w:t>a</w:t>
      </w:r>
      <w:r w:rsidR="001F4901" w:rsidRPr="00477CFC">
        <w:rPr>
          <w:rFonts w:ascii="Arial" w:hAnsi="Arial" w:cs="Arial"/>
        </w:rPr>
        <w:t>)</w:t>
      </w:r>
      <w:r w:rsidR="00E6209A" w:rsidRPr="00477CFC">
        <w:rPr>
          <w:rFonts w:ascii="Arial" w:hAnsi="Arial" w:cs="Arial"/>
        </w:rPr>
        <w:t xml:space="preserve">.  </w:t>
      </w:r>
      <w:r w:rsidR="00D5026E" w:rsidRPr="00477CFC">
        <w:rPr>
          <w:rFonts w:ascii="Arial" w:hAnsi="Arial" w:cs="Arial"/>
        </w:rPr>
        <w:t xml:space="preserve"> Again, b</w:t>
      </w:r>
      <w:r w:rsidR="00E6209A" w:rsidRPr="00477CFC">
        <w:rPr>
          <w:rFonts w:ascii="Arial" w:hAnsi="Arial" w:cs="Arial"/>
        </w:rPr>
        <w:t xml:space="preserve">oth </w:t>
      </w:r>
      <w:r w:rsidR="002561C7" w:rsidRPr="00477CFC">
        <w:rPr>
          <w:rFonts w:ascii="Arial" w:hAnsi="Arial" w:cs="Arial"/>
        </w:rPr>
        <w:t>are shown as a proportion of the Social Security Administration intermediate projections of future GDP, also in year 2000 dollars</w:t>
      </w:r>
      <w:r w:rsidR="00E456FA" w:rsidRPr="00477CFC">
        <w:rPr>
          <w:rFonts w:ascii="Arial" w:hAnsi="Arial" w:cs="Arial"/>
        </w:rPr>
        <w:t>.</w:t>
      </w:r>
      <w:r w:rsidR="00E6209A" w:rsidRPr="00477CFC">
        <w:rPr>
          <w:rFonts w:ascii="Arial" w:hAnsi="Arial" w:cs="Arial"/>
        </w:rPr>
        <w:t xml:space="preserve">  Figure 3-</w:t>
      </w:r>
      <w:r w:rsidR="00D5026E" w:rsidRPr="00477CFC">
        <w:rPr>
          <w:rFonts w:ascii="Arial" w:hAnsi="Arial" w:cs="Arial"/>
        </w:rPr>
        <w:t>6</w:t>
      </w:r>
      <w:r w:rsidR="00E6209A" w:rsidRPr="00477CFC">
        <w:rPr>
          <w:rFonts w:ascii="Arial" w:hAnsi="Arial" w:cs="Arial"/>
        </w:rPr>
        <w:t xml:space="preserve"> is based on the average historical equity return and Figure 3-</w:t>
      </w:r>
      <w:r w:rsidR="00E456FA" w:rsidRPr="00477CFC">
        <w:rPr>
          <w:rFonts w:ascii="Arial" w:hAnsi="Arial" w:cs="Arial"/>
        </w:rPr>
        <w:t>7</w:t>
      </w:r>
      <w:r w:rsidR="00E6209A" w:rsidRPr="00477CFC">
        <w:rPr>
          <w:rFonts w:ascii="Arial" w:hAnsi="Arial" w:cs="Arial"/>
        </w:rPr>
        <w:t xml:space="preserve"> is based on the historical return less 300 basis points</w:t>
      </w:r>
      <w:r w:rsidR="00BC6E1D" w:rsidRPr="00477CFC">
        <w:rPr>
          <w:rFonts w:ascii="Arial" w:hAnsi="Arial" w:cs="Arial"/>
        </w:rPr>
        <w:t xml:space="preserve">.  It is clear from both of these figures that the share of </w:t>
      </w:r>
      <w:r w:rsidR="00D4794F" w:rsidRPr="00477CFC">
        <w:rPr>
          <w:rFonts w:ascii="Arial" w:hAnsi="Arial" w:cs="Arial"/>
        </w:rPr>
        <w:t xml:space="preserve">total pension </w:t>
      </w:r>
      <w:r w:rsidR="00BC6E1D" w:rsidRPr="00477CFC">
        <w:rPr>
          <w:rFonts w:ascii="Arial" w:hAnsi="Arial" w:cs="Arial"/>
        </w:rPr>
        <w:t xml:space="preserve">assets accounted for by 401(k) plans grows steadily over time, from </w:t>
      </w:r>
      <w:r w:rsidR="00D4794F" w:rsidRPr="00477CFC">
        <w:rPr>
          <w:rFonts w:ascii="Arial" w:hAnsi="Arial" w:cs="Arial"/>
        </w:rPr>
        <w:t xml:space="preserve">well under one-half </w:t>
      </w:r>
      <w:r w:rsidR="00BC6E1D" w:rsidRPr="00477CFC">
        <w:rPr>
          <w:rFonts w:ascii="Arial" w:hAnsi="Arial" w:cs="Arial"/>
        </w:rPr>
        <w:t xml:space="preserve"> today </w:t>
      </w:r>
      <w:r w:rsidR="00D4794F" w:rsidRPr="00477CFC">
        <w:rPr>
          <w:rFonts w:ascii="Arial" w:hAnsi="Arial" w:cs="Arial"/>
        </w:rPr>
        <w:t>to 87</w:t>
      </w:r>
      <w:r w:rsidR="00BC6E1D" w:rsidRPr="00477CFC">
        <w:rPr>
          <w:rFonts w:ascii="Arial" w:hAnsi="Arial" w:cs="Arial"/>
        </w:rPr>
        <w:t xml:space="preserve"> percent in 2040 assuming historical equity returns and </w:t>
      </w:r>
      <w:r w:rsidR="00D4794F" w:rsidRPr="00477CFC">
        <w:rPr>
          <w:rFonts w:ascii="Arial" w:hAnsi="Arial" w:cs="Arial"/>
        </w:rPr>
        <w:t>81</w:t>
      </w:r>
      <w:r w:rsidR="00BC6E1D" w:rsidRPr="00477CFC">
        <w:rPr>
          <w:rFonts w:ascii="Arial" w:hAnsi="Arial" w:cs="Arial"/>
        </w:rPr>
        <w:t xml:space="preserve"> percent in 2040 assuming historical returns less 300 basis points.</w:t>
      </w:r>
      <w:r w:rsidR="00BC6E1D" w:rsidRPr="00477CFC">
        <w:rPr>
          <w:rFonts w:ascii="Arial" w:hAnsi="Arial" w:cs="Arial"/>
          <w:color w:val="FF0000"/>
        </w:rPr>
        <w:t xml:space="preserve">  </w:t>
      </w:r>
    </w:p>
    <w:p w:rsidR="000756E1" w:rsidRPr="00477CFC" w:rsidRDefault="00AF2C36" w:rsidP="00AE6D70">
      <w:pPr>
        <w:tabs>
          <w:tab w:val="left" w:pos="-180"/>
          <w:tab w:val="left" w:pos="720"/>
          <w:tab w:val="left" w:pos="1080"/>
          <w:tab w:val="left" w:pos="1440"/>
          <w:tab w:val="left" w:pos="1800"/>
          <w:tab w:val="left" w:pos="2160"/>
          <w:tab w:val="left" w:pos="2520"/>
          <w:tab w:val="left" w:pos="2880"/>
        </w:tabs>
        <w:rPr>
          <w:rFonts w:ascii="Arial" w:hAnsi="Arial" w:cs="Arial"/>
        </w:rPr>
      </w:pPr>
      <w:r>
        <w:rPr>
          <w:noProof/>
        </w:rPr>
        <w:lastRenderedPageBreak/>
        <w:drawing>
          <wp:inline distT="0" distB="0" distL="0" distR="0">
            <wp:extent cx="5486400" cy="3738245"/>
            <wp:effectExtent l="0" t="0" r="0" b="0"/>
            <wp:docPr id="53" name="Picture 53" descr="Figure 3-6 Ratio of projected 401(k) and DB assets to projected GDP by year (historical equity retu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igure 3-6 Ratio of projected 401(k) and DB assets to projected GDP by year (historical equity returns)"/>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B960BF" w:rsidRPr="00477CFC" w:rsidRDefault="00AF2C36" w:rsidP="00AE6D70">
      <w:pPr>
        <w:tabs>
          <w:tab w:val="left" w:pos="-180"/>
          <w:tab w:val="left" w:pos="720"/>
          <w:tab w:val="left" w:pos="1080"/>
          <w:tab w:val="left" w:pos="1440"/>
          <w:tab w:val="left" w:pos="1800"/>
          <w:tab w:val="left" w:pos="2160"/>
          <w:tab w:val="left" w:pos="2520"/>
          <w:tab w:val="left" w:pos="2880"/>
        </w:tabs>
      </w:pPr>
      <w:r>
        <w:rPr>
          <w:noProof/>
        </w:rPr>
        <w:drawing>
          <wp:inline distT="0" distB="0" distL="0" distR="0">
            <wp:extent cx="5486400" cy="3738245"/>
            <wp:effectExtent l="0" t="0" r="0" b="0"/>
            <wp:docPr id="54" name="Picture 54" descr="Figure 3-1 Ratio of projected 401(k) and DB assets to projected GDP by year (historical returns less 300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igure 3-1 Ratio of projected 401(k) and DB assets to projected GDP by year (historical returns less 300bp)"/>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486400" cy="3738245"/>
                    </a:xfrm>
                    <a:prstGeom prst="rect">
                      <a:avLst/>
                    </a:prstGeom>
                    <a:noFill/>
                    <a:ln>
                      <a:noFill/>
                    </a:ln>
                  </pic:spPr>
                </pic:pic>
              </a:graphicData>
            </a:graphic>
          </wp:inline>
        </w:drawing>
      </w:r>
    </w:p>
    <w:p w:rsidR="003A3794" w:rsidRPr="00477CFC" w:rsidRDefault="003A3794"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1119A6" w:rsidRPr="00477CFC" w:rsidRDefault="001119A6" w:rsidP="00AE6D70">
      <w:pPr>
        <w:tabs>
          <w:tab w:val="left" w:pos="-180"/>
          <w:tab w:val="left" w:pos="720"/>
          <w:tab w:val="left" w:pos="1080"/>
          <w:tab w:val="left" w:pos="1440"/>
          <w:tab w:val="left" w:pos="1800"/>
          <w:tab w:val="left" w:pos="2160"/>
          <w:tab w:val="left" w:pos="2520"/>
          <w:tab w:val="left" w:pos="2880"/>
        </w:tabs>
        <w:rPr>
          <w:rFonts w:ascii="Arial" w:hAnsi="Arial" w:cs="Arial"/>
        </w:rPr>
      </w:pPr>
    </w:p>
    <w:p w:rsidR="00DD3CE7" w:rsidRPr="00477CFC" w:rsidRDefault="00E56702" w:rsidP="00AE6D70">
      <w:pPr>
        <w:tabs>
          <w:tab w:val="left" w:pos="-180"/>
          <w:tab w:val="left" w:pos="720"/>
          <w:tab w:val="left" w:pos="1080"/>
          <w:tab w:val="left" w:pos="1440"/>
          <w:tab w:val="left" w:pos="1800"/>
          <w:tab w:val="left" w:pos="2160"/>
          <w:tab w:val="left" w:pos="2520"/>
          <w:tab w:val="left" w:pos="2880"/>
        </w:tabs>
        <w:rPr>
          <w:rFonts w:ascii="Arial" w:hAnsi="Arial" w:cs="Arial"/>
          <w:b/>
        </w:rPr>
      </w:pPr>
      <w:r w:rsidRPr="00477CFC">
        <w:rPr>
          <w:rFonts w:ascii="Arial" w:hAnsi="Arial" w:cs="Arial"/>
          <w:b/>
        </w:rPr>
        <w:br w:type="page"/>
      </w:r>
      <w:r w:rsidR="003D5F85" w:rsidRPr="00477CFC">
        <w:rPr>
          <w:rFonts w:ascii="Arial" w:hAnsi="Arial" w:cs="Arial"/>
          <w:b/>
        </w:rPr>
        <w:lastRenderedPageBreak/>
        <w:t>4.  Summary and Discussion</w:t>
      </w:r>
      <w:r w:rsidR="00B960BF" w:rsidRPr="00477CFC">
        <w:rPr>
          <w:rFonts w:ascii="Arial" w:hAnsi="Arial" w:cs="Arial"/>
          <w:b/>
        </w:rPr>
        <w:tab/>
      </w:r>
      <w:r w:rsidR="004619E6" w:rsidRPr="00477CFC">
        <w:rPr>
          <w:rFonts w:ascii="Arial" w:hAnsi="Arial" w:cs="Arial"/>
          <w:b/>
        </w:rPr>
        <w:t xml:space="preserve"> </w:t>
      </w:r>
    </w:p>
    <w:p w:rsidR="005D275D" w:rsidRPr="00477CFC" w:rsidRDefault="00DD3CE7" w:rsidP="00AE6D70">
      <w:pPr>
        <w:tabs>
          <w:tab w:val="left" w:pos="-180"/>
          <w:tab w:val="left" w:pos="720"/>
          <w:tab w:val="left" w:pos="1080"/>
          <w:tab w:val="left" w:pos="1440"/>
          <w:tab w:val="left" w:pos="1800"/>
          <w:tab w:val="left" w:pos="2160"/>
          <w:tab w:val="left" w:pos="2520"/>
          <w:tab w:val="left" w:pos="2880"/>
        </w:tabs>
        <w:rPr>
          <w:rFonts w:ascii="Arial" w:hAnsi="Arial" w:cs="Arial"/>
        </w:rPr>
      </w:pPr>
      <w:r w:rsidRPr="00477CFC">
        <w:rPr>
          <w:rFonts w:ascii="Arial" w:hAnsi="Arial" w:cs="Arial"/>
        </w:rPr>
        <w:tab/>
      </w:r>
      <w:r w:rsidR="0085234C" w:rsidRPr="00477CFC">
        <w:rPr>
          <w:rFonts w:ascii="Arial" w:hAnsi="Arial" w:cs="Arial"/>
        </w:rPr>
        <w:t xml:space="preserve"> </w:t>
      </w:r>
    </w:p>
    <w:p w:rsidR="002B01E1" w:rsidRPr="00477CFC" w:rsidRDefault="002B01E1" w:rsidP="00AE6D70">
      <w:pPr>
        <w:tabs>
          <w:tab w:val="left" w:pos="-720"/>
        </w:tabs>
        <w:suppressAutoHyphens/>
        <w:rPr>
          <w:rFonts w:ascii="Arial" w:hAnsi="Arial" w:cs="Arial"/>
        </w:rPr>
      </w:pPr>
      <w:r w:rsidRPr="00477CFC">
        <w:rPr>
          <w:rFonts w:ascii="Arial" w:hAnsi="Arial" w:cs="Arial"/>
        </w:rPr>
        <w:tab/>
        <w:t xml:space="preserve">Over the past two and a half decades there has been a fundamental change in saving for retirement in the </w:t>
      </w:r>
      <w:smartTag w:uri="urn:schemas-microsoft-com:office:smarttags" w:element="country-region">
        <w:smartTag w:uri="urn:schemas-microsoft-com:office:smarttags" w:element="place">
          <w:r w:rsidRPr="00477CFC">
            <w:rPr>
              <w:rFonts w:ascii="Arial" w:hAnsi="Arial" w:cs="Arial"/>
            </w:rPr>
            <w:t>United States</w:t>
          </w:r>
        </w:smartTag>
      </w:smartTag>
      <w:r w:rsidRPr="00477CFC">
        <w:rPr>
          <w:rFonts w:ascii="Arial" w:hAnsi="Arial" w:cs="Arial"/>
        </w:rPr>
        <w:t xml:space="preserve">, with a rapid shift from saving through employer-managed defined benefit pensions to defined contribution retirement saving plans that are largely controlled by employees.  To understand how this change will affect the well-being of future retirees, we project the future growth of assets in self-directed personal retirement plans.  </w:t>
      </w:r>
    </w:p>
    <w:p w:rsidR="002B01E1" w:rsidRPr="00477CFC" w:rsidRDefault="002B01E1" w:rsidP="00AE6D70">
      <w:pPr>
        <w:tabs>
          <w:tab w:val="left" w:pos="-720"/>
        </w:tabs>
        <w:suppressAutoHyphens/>
        <w:rPr>
          <w:rFonts w:ascii="Arial" w:hAnsi="Arial" w:cs="Arial"/>
        </w:rPr>
      </w:pPr>
    </w:p>
    <w:p w:rsidR="002B01E1" w:rsidRPr="00477CFC" w:rsidRDefault="003D5F85" w:rsidP="00AE6D70">
      <w:pPr>
        <w:tabs>
          <w:tab w:val="left" w:pos="-720"/>
        </w:tabs>
        <w:suppressAutoHyphens/>
        <w:rPr>
          <w:rFonts w:ascii="Arial" w:hAnsi="Arial" w:cs="Arial"/>
          <w:color w:val="FF0000"/>
        </w:rPr>
      </w:pPr>
      <w:r w:rsidRPr="00477CFC">
        <w:rPr>
          <w:rFonts w:ascii="Arial" w:hAnsi="Arial" w:cs="Arial"/>
        </w:rPr>
        <w:tab/>
      </w:r>
      <w:r w:rsidR="002B01E1" w:rsidRPr="00477CFC">
        <w:rPr>
          <w:rFonts w:ascii="Arial" w:hAnsi="Arial" w:cs="Arial"/>
        </w:rPr>
        <w:t>Our projections indicate</w:t>
      </w:r>
      <w:r w:rsidR="00DA10CB" w:rsidRPr="00477CFC">
        <w:rPr>
          <w:rFonts w:ascii="Arial" w:hAnsi="Arial" w:cs="Arial"/>
        </w:rPr>
        <w:t xml:space="preserve"> the 401(k) assets of persons who attain age 65 in 2040 will be much greater than the </w:t>
      </w:r>
      <w:r w:rsidR="00A30B2E" w:rsidRPr="00477CFC">
        <w:rPr>
          <w:rFonts w:ascii="Arial" w:hAnsi="Arial" w:cs="Arial"/>
        </w:rPr>
        <w:t>401(k) assets</w:t>
      </w:r>
      <w:r w:rsidR="002B01E1" w:rsidRPr="00477CFC">
        <w:rPr>
          <w:rFonts w:ascii="Arial" w:hAnsi="Arial" w:cs="Arial"/>
        </w:rPr>
        <w:t xml:space="preserve"> of persons who</w:t>
      </w:r>
      <w:r w:rsidR="00DA10CB" w:rsidRPr="00477CFC">
        <w:rPr>
          <w:rFonts w:ascii="Arial" w:hAnsi="Arial" w:cs="Arial"/>
        </w:rPr>
        <w:t xml:space="preserve"> attained age 65 in </w:t>
      </w:r>
      <w:r w:rsidR="00DA10CB" w:rsidRPr="00FB7457">
        <w:rPr>
          <w:rFonts w:ascii="Arial" w:hAnsi="Arial" w:cs="Arial"/>
        </w:rPr>
        <w:t xml:space="preserve">2000.  </w:t>
      </w:r>
      <w:r w:rsidR="00A30B2E" w:rsidRPr="00FB7457">
        <w:rPr>
          <w:rFonts w:ascii="Arial" w:hAnsi="Arial" w:cs="Arial"/>
        </w:rPr>
        <w:t>If the historical rate of return on equities</w:t>
      </w:r>
      <w:r w:rsidR="00DA10CB" w:rsidRPr="00FB7457">
        <w:rPr>
          <w:rFonts w:ascii="Arial" w:hAnsi="Arial" w:cs="Arial"/>
        </w:rPr>
        <w:t xml:space="preserve"> continues in the future</w:t>
      </w:r>
      <w:r w:rsidR="00A30B2E" w:rsidRPr="00FB7457">
        <w:rPr>
          <w:rFonts w:ascii="Arial" w:hAnsi="Arial" w:cs="Arial"/>
        </w:rPr>
        <w:t>, the average</w:t>
      </w:r>
      <w:r w:rsidR="004A79DF" w:rsidRPr="00FB7457">
        <w:rPr>
          <w:rFonts w:ascii="Arial" w:hAnsi="Arial" w:cs="Arial"/>
        </w:rPr>
        <w:t xml:space="preserve"> (over all persons)</w:t>
      </w:r>
      <w:r w:rsidR="00A30B2E" w:rsidRPr="00FB7457">
        <w:rPr>
          <w:rFonts w:ascii="Arial" w:hAnsi="Arial" w:cs="Arial"/>
        </w:rPr>
        <w:t xml:space="preserve"> increases from about $29,</w:t>
      </w:r>
      <w:r w:rsidR="005F7FCC" w:rsidRPr="00FB7457">
        <w:rPr>
          <w:rFonts w:ascii="Arial" w:hAnsi="Arial" w:cs="Arial"/>
        </w:rPr>
        <w:t>7</w:t>
      </w:r>
      <w:r w:rsidR="00A30B2E" w:rsidRPr="00FB7457">
        <w:rPr>
          <w:rFonts w:ascii="Arial" w:hAnsi="Arial" w:cs="Arial"/>
        </w:rPr>
        <w:t>00 in 2000</w:t>
      </w:r>
      <w:r w:rsidR="00DA10CB" w:rsidRPr="00FB7457">
        <w:rPr>
          <w:rFonts w:ascii="Arial" w:hAnsi="Arial" w:cs="Arial"/>
        </w:rPr>
        <w:t xml:space="preserve"> </w:t>
      </w:r>
      <w:r w:rsidR="00A30B2E" w:rsidRPr="00FB7457">
        <w:rPr>
          <w:rFonts w:ascii="Arial" w:hAnsi="Arial" w:cs="Arial"/>
        </w:rPr>
        <w:t>to $452,000 by 2040</w:t>
      </w:r>
      <w:r w:rsidR="003D197A" w:rsidRPr="00FB7457">
        <w:rPr>
          <w:rFonts w:ascii="Arial" w:hAnsi="Arial" w:cs="Arial"/>
        </w:rPr>
        <w:t xml:space="preserve"> (both in year 2000 dollars)</w:t>
      </w:r>
      <w:r w:rsidR="00A30B2E" w:rsidRPr="00FB7457">
        <w:rPr>
          <w:rFonts w:ascii="Arial" w:hAnsi="Arial" w:cs="Arial"/>
        </w:rPr>
        <w:t>.  Assuming the historical rate of return on equities less 300 basis points, the average increases from $29,</w:t>
      </w:r>
      <w:r w:rsidR="005F7FCC" w:rsidRPr="00FB7457">
        <w:rPr>
          <w:rFonts w:ascii="Arial" w:hAnsi="Arial" w:cs="Arial"/>
        </w:rPr>
        <w:t>7</w:t>
      </w:r>
      <w:r w:rsidR="00A30B2E" w:rsidRPr="00FB7457">
        <w:rPr>
          <w:rFonts w:ascii="Arial" w:hAnsi="Arial" w:cs="Arial"/>
        </w:rPr>
        <w:t xml:space="preserve">00 in 2000 to $269,000 by 2040.  </w:t>
      </w:r>
      <w:r w:rsidR="008B2872" w:rsidRPr="00FB7457">
        <w:rPr>
          <w:rFonts w:ascii="Arial" w:hAnsi="Arial" w:cs="Arial"/>
        </w:rPr>
        <w:t xml:space="preserve">There are three principal reasons for the growth of 401(k) assets between 2000 and 2040.  First, the 401(k) </w:t>
      </w:r>
      <w:r w:rsidR="00477CFC" w:rsidRPr="00FB7457">
        <w:rPr>
          <w:rFonts w:ascii="Arial" w:hAnsi="Arial" w:cs="Arial"/>
        </w:rPr>
        <w:t>system was not fully mature in 2000.  R</w:t>
      </w:r>
      <w:r w:rsidR="008B2872" w:rsidRPr="00FB7457">
        <w:rPr>
          <w:rFonts w:ascii="Arial" w:hAnsi="Arial" w:cs="Arial"/>
        </w:rPr>
        <w:t>etirees in 2000 could have contributed</w:t>
      </w:r>
      <w:r w:rsidR="00477CFC" w:rsidRPr="00FB7457">
        <w:rPr>
          <w:rFonts w:ascii="Arial" w:hAnsi="Arial" w:cs="Arial"/>
        </w:rPr>
        <w:t xml:space="preserve"> to a 401(k) plan </w:t>
      </w:r>
      <w:r w:rsidR="008B2872" w:rsidRPr="00FB7457">
        <w:rPr>
          <w:rFonts w:ascii="Arial" w:hAnsi="Arial" w:cs="Arial"/>
        </w:rPr>
        <w:t xml:space="preserve">for at most 18 years </w:t>
      </w:r>
      <w:r w:rsidR="00FB7457" w:rsidRPr="00FB7457">
        <w:rPr>
          <w:rFonts w:ascii="Arial" w:hAnsi="Arial" w:cs="Arial"/>
        </w:rPr>
        <w:t>and on average participants had contributed just over 7</w:t>
      </w:r>
      <w:r w:rsidR="008B2872" w:rsidRPr="00FB7457">
        <w:rPr>
          <w:rFonts w:ascii="Arial" w:hAnsi="Arial" w:cs="Arial"/>
        </w:rPr>
        <w:t>.  Beginning in about 20</w:t>
      </w:r>
      <w:r w:rsidR="004A79DF" w:rsidRPr="00FB7457">
        <w:rPr>
          <w:rFonts w:ascii="Arial" w:hAnsi="Arial" w:cs="Arial"/>
        </w:rPr>
        <w:t>2</w:t>
      </w:r>
      <w:r w:rsidR="00181A85" w:rsidRPr="00FB7457">
        <w:rPr>
          <w:rFonts w:ascii="Arial" w:hAnsi="Arial" w:cs="Arial"/>
        </w:rPr>
        <w:t xml:space="preserve">0 </w:t>
      </w:r>
      <w:r w:rsidR="008B2872" w:rsidRPr="00FB7457">
        <w:rPr>
          <w:rFonts w:ascii="Arial" w:hAnsi="Arial" w:cs="Arial"/>
        </w:rPr>
        <w:t xml:space="preserve">retirees </w:t>
      </w:r>
      <w:r w:rsidR="00181A85" w:rsidRPr="00FB7457">
        <w:rPr>
          <w:rFonts w:ascii="Arial" w:hAnsi="Arial" w:cs="Arial"/>
        </w:rPr>
        <w:t>working</w:t>
      </w:r>
      <w:r w:rsidR="008B2872" w:rsidRPr="00FB7457">
        <w:rPr>
          <w:rFonts w:ascii="Arial" w:hAnsi="Arial" w:cs="Arial"/>
        </w:rPr>
        <w:t xml:space="preserve"> for employers offering a 401(k) will have been able to contribute for their entire work</w:t>
      </w:r>
      <w:r w:rsidR="00FB7457" w:rsidRPr="00FB7457">
        <w:rPr>
          <w:rFonts w:ascii="Arial" w:hAnsi="Arial" w:cs="Arial"/>
        </w:rPr>
        <w:t>ing lives</w:t>
      </w:r>
      <w:r w:rsidR="008B2872" w:rsidRPr="00FB7457">
        <w:rPr>
          <w:rFonts w:ascii="Arial" w:hAnsi="Arial" w:cs="Arial"/>
        </w:rPr>
        <w:t xml:space="preserve">.  </w:t>
      </w:r>
      <w:r w:rsidR="004A79DF" w:rsidRPr="00FB7457">
        <w:rPr>
          <w:rFonts w:ascii="Arial" w:hAnsi="Arial" w:cs="Arial"/>
        </w:rPr>
        <w:t xml:space="preserve">Second, future retirees will benefit from real wage growth, assumed to be 1.1 percent per year in our projections.   </w:t>
      </w:r>
      <w:r w:rsidR="00FB7457" w:rsidRPr="00FB7457">
        <w:rPr>
          <w:rFonts w:ascii="Arial" w:hAnsi="Arial" w:cs="Arial"/>
        </w:rPr>
        <w:t xml:space="preserve">Third, </w:t>
      </w:r>
      <w:r w:rsidR="004A79DF" w:rsidRPr="00FB7457">
        <w:rPr>
          <w:rFonts w:ascii="Arial" w:hAnsi="Arial" w:cs="Arial"/>
        </w:rPr>
        <w:t xml:space="preserve">we project continued growth of 401(k) coverage, albeit at a slower rate than in the recent past, as 401(k) plans continue to </w:t>
      </w:r>
      <w:r w:rsidR="007C7592" w:rsidRPr="00FB7457">
        <w:rPr>
          <w:rFonts w:ascii="Arial" w:hAnsi="Arial" w:cs="Arial"/>
        </w:rPr>
        <w:t>spread</w:t>
      </w:r>
      <w:r w:rsidR="004A79DF" w:rsidRPr="00FB7457">
        <w:rPr>
          <w:rFonts w:ascii="Arial" w:hAnsi="Arial" w:cs="Arial"/>
        </w:rPr>
        <w:t xml:space="preserve"> to smaller </w:t>
      </w:r>
      <w:r w:rsidR="00181A85" w:rsidRPr="00FB7457">
        <w:rPr>
          <w:rFonts w:ascii="Arial" w:hAnsi="Arial" w:cs="Arial"/>
        </w:rPr>
        <w:t>firms in the private sector, as well as to employers in the public sector</w:t>
      </w:r>
      <w:r w:rsidR="004A79DF" w:rsidRPr="00FB7457">
        <w:rPr>
          <w:rFonts w:ascii="Arial" w:hAnsi="Arial" w:cs="Arial"/>
        </w:rPr>
        <w:t>.</w:t>
      </w:r>
    </w:p>
    <w:p w:rsidR="002B01E1" w:rsidRPr="00477CFC" w:rsidRDefault="002B01E1" w:rsidP="00AE6D70">
      <w:pPr>
        <w:tabs>
          <w:tab w:val="left" w:pos="-720"/>
        </w:tabs>
        <w:suppressAutoHyphens/>
        <w:rPr>
          <w:rFonts w:ascii="Arial" w:hAnsi="Arial" w:cs="Arial"/>
        </w:rPr>
      </w:pPr>
    </w:p>
    <w:p w:rsidR="003D197A" w:rsidRPr="00477CFC" w:rsidRDefault="002B01E1" w:rsidP="00AE6D70">
      <w:pPr>
        <w:tabs>
          <w:tab w:val="left" w:pos="-720"/>
        </w:tabs>
        <w:suppressAutoHyphens/>
        <w:rPr>
          <w:rFonts w:ascii="Arial" w:hAnsi="Arial" w:cs="Arial"/>
          <w:color w:val="FF0000"/>
        </w:rPr>
      </w:pPr>
      <w:r w:rsidRPr="00477CFC">
        <w:rPr>
          <w:rFonts w:ascii="Arial" w:hAnsi="Arial" w:cs="Arial"/>
        </w:rPr>
        <w:tab/>
        <w:t xml:space="preserve">To </w:t>
      </w:r>
      <w:r w:rsidRPr="004A7139">
        <w:rPr>
          <w:rFonts w:ascii="Arial" w:hAnsi="Arial" w:cs="Arial"/>
        </w:rPr>
        <w:t xml:space="preserve">place </w:t>
      </w:r>
      <w:r w:rsidR="00F76D81" w:rsidRPr="004A7139">
        <w:rPr>
          <w:rFonts w:ascii="Arial" w:hAnsi="Arial" w:cs="Arial"/>
        </w:rPr>
        <w:t>the growth of 401(k) assets</w:t>
      </w:r>
      <w:r w:rsidRPr="004A7139">
        <w:rPr>
          <w:rFonts w:ascii="Arial" w:hAnsi="Arial" w:cs="Arial"/>
        </w:rPr>
        <w:t xml:space="preserve"> in a broader economic context</w:t>
      </w:r>
      <w:r w:rsidR="003D197A" w:rsidRPr="004A7139">
        <w:rPr>
          <w:rFonts w:ascii="Arial" w:hAnsi="Arial" w:cs="Arial"/>
        </w:rPr>
        <w:t xml:space="preserve">, we also calculated the </w:t>
      </w:r>
      <w:r w:rsidRPr="004A7139">
        <w:rPr>
          <w:rFonts w:ascii="Arial" w:hAnsi="Arial" w:cs="Arial"/>
        </w:rPr>
        <w:t>total value of 401(k) assets as a proportion of the Social Security Administration intermediate projections of future GDP</w:t>
      </w:r>
      <w:r w:rsidR="003D197A" w:rsidRPr="004A7139">
        <w:rPr>
          <w:rFonts w:ascii="Arial" w:hAnsi="Arial" w:cs="Arial"/>
        </w:rPr>
        <w:t xml:space="preserve"> (</w:t>
      </w:r>
      <w:r w:rsidRPr="004A7139">
        <w:rPr>
          <w:rFonts w:ascii="Arial" w:hAnsi="Arial" w:cs="Arial"/>
        </w:rPr>
        <w:t>in year 2000 dollars</w:t>
      </w:r>
      <w:r w:rsidR="003D197A" w:rsidRPr="004A7139">
        <w:rPr>
          <w:rFonts w:ascii="Arial" w:hAnsi="Arial" w:cs="Arial"/>
        </w:rPr>
        <w:t>)</w:t>
      </w:r>
      <w:r w:rsidRPr="004A7139">
        <w:rPr>
          <w:rFonts w:ascii="Arial" w:hAnsi="Arial" w:cs="Arial"/>
        </w:rPr>
        <w:t>.  Total 401(k) assets grow from essentially zero</w:t>
      </w:r>
      <w:r w:rsidRPr="00477CFC">
        <w:rPr>
          <w:rFonts w:ascii="Arial" w:hAnsi="Arial" w:cs="Arial"/>
        </w:rPr>
        <w:t xml:space="preserve"> percent of GDP in 1982 to about 38 percent of GDP in 2005.   Our projections indicate that 401(k) assets continue to increase after 2005, reaching 155 percent of GDP in 2040 assuming historical equity returns and 98 percent of GDP assuming the historical equity return less 300 basis points.</w:t>
      </w:r>
      <w:r w:rsidRPr="00477CFC">
        <w:rPr>
          <w:rFonts w:ascii="Arial" w:hAnsi="Arial" w:cs="Arial"/>
          <w:color w:val="FF0000"/>
        </w:rPr>
        <w:t xml:space="preserve">  </w:t>
      </w:r>
    </w:p>
    <w:p w:rsidR="003D197A" w:rsidRPr="00477CFC" w:rsidRDefault="003D197A" w:rsidP="00AE6D70">
      <w:pPr>
        <w:tabs>
          <w:tab w:val="left" w:pos="-720"/>
        </w:tabs>
        <w:suppressAutoHyphens/>
        <w:rPr>
          <w:rFonts w:ascii="Arial" w:hAnsi="Arial" w:cs="Arial"/>
        </w:rPr>
      </w:pPr>
    </w:p>
    <w:p w:rsidR="00612738" w:rsidRPr="00477CFC" w:rsidRDefault="003D197A" w:rsidP="00AE6D70">
      <w:pPr>
        <w:tabs>
          <w:tab w:val="left" w:pos="-720"/>
        </w:tabs>
        <w:suppressAutoHyphens/>
        <w:rPr>
          <w:rFonts w:ascii="Arial" w:hAnsi="Arial" w:cs="Arial"/>
          <w:b/>
          <w:spacing w:val="-3"/>
        </w:rPr>
      </w:pPr>
      <w:r w:rsidRPr="00477CFC">
        <w:rPr>
          <w:rFonts w:ascii="Arial" w:hAnsi="Arial" w:cs="Arial"/>
        </w:rPr>
        <w:tab/>
        <w:t>In addition, we find that the</w:t>
      </w:r>
      <w:r w:rsidR="005F7FCC" w:rsidRPr="00477CFC">
        <w:rPr>
          <w:rFonts w:ascii="Arial" w:hAnsi="Arial" w:cs="Arial"/>
        </w:rPr>
        <w:t xml:space="preserve"> decline in DB pension assets is</w:t>
      </w:r>
      <w:r w:rsidRPr="00477CFC">
        <w:rPr>
          <w:rFonts w:ascii="Arial" w:hAnsi="Arial" w:cs="Arial"/>
        </w:rPr>
        <w:t xml:space="preserve"> far outweighed by the increase in 401(k) assets.   Total pension assets, including both DB and 401(k) plans, grow from about 52 percent of GDP in 1982 to 1</w:t>
      </w:r>
      <w:r w:rsidR="005F7FCC" w:rsidRPr="00477CFC">
        <w:rPr>
          <w:rFonts w:ascii="Arial" w:hAnsi="Arial" w:cs="Arial"/>
        </w:rPr>
        <w:t>79</w:t>
      </w:r>
      <w:r w:rsidRPr="00477CFC">
        <w:rPr>
          <w:rFonts w:ascii="Arial" w:hAnsi="Arial" w:cs="Arial"/>
        </w:rPr>
        <w:t xml:space="preserve"> percent of GDP assuming historical rates of equity return, and to </w:t>
      </w:r>
      <w:r w:rsidR="005F7FCC" w:rsidRPr="00477CFC">
        <w:rPr>
          <w:rFonts w:ascii="Arial" w:hAnsi="Arial" w:cs="Arial"/>
        </w:rPr>
        <w:t>121</w:t>
      </w:r>
      <w:r w:rsidRPr="00477CFC">
        <w:rPr>
          <w:rFonts w:ascii="Arial" w:hAnsi="Arial" w:cs="Arial"/>
        </w:rPr>
        <w:t xml:space="preserve"> percent of GDP assuming historical rates less 300 basis points.  </w:t>
      </w:r>
      <w:r w:rsidR="004C6105" w:rsidRPr="00477CFC">
        <w:rPr>
          <w:rFonts w:ascii="Arial" w:hAnsi="Arial" w:cs="Arial"/>
        </w:rPr>
        <w:t>Thus we conclude that the increase in the pension assets of future retirees will be much greater than the assets of current retirees.</w:t>
      </w:r>
      <w:r w:rsidR="00612738" w:rsidRPr="00477CFC">
        <w:rPr>
          <w:rFonts w:ascii="Arial" w:hAnsi="Arial" w:cs="Arial"/>
        </w:rPr>
        <w:br w:type="page"/>
      </w:r>
      <w:r w:rsidR="00612738" w:rsidRPr="00477CFC">
        <w:rPr>
          <w:rFonts w:ascii="Arial" w:hAnsi="Arial" w:cs="Arial"/>
          <w:spacing w:val="-2"/>
        </w:rPr>
        <w:lastRenderedPageBreak/>
        <w:tab/>
      </w:r>
      <w:r w:rsidR="00612738" w:rsidRPr="00477CFC">
        <w:rPr>
          <w:rFonts w:ascii="Arial" w:hAnsi="Arial" w:cs="Arial"/>
          <w:spacing w:val="-2"/>
        </w:rPr>
        <w:tab/>
      </w:r>
      <w:r w:rsidR="00612738" w:rsidRPr="00477CFC">
        <w:rPr>
          <w:rFonts w:ascii="Arial" w:hAnsi="Arial" w:cs="Arial"/>
          <w:spacing w:val="-2"/>
        </w:rPr>
        <w:tab/>
      </w:r>
      <w:r w:rsidR="00612738" w:rsidRPr="00477CFC">
        <w:rPr>
          <w:rFonts w:ascii="Arial" w:hAnsi="Arial" w:cs="Arial"/>
          <w:spacing w:val="-2"/>
        </w:rPr>
        <w:tab/>
      </w:r>
      <w:r w:rsidR="00612738" w:rsidRPr="00477CFC">
        <w:rPr>
          <w:rFonts w:ascii="Arial" w:hAnsi="Arial" w:cs="Arial"/>
          <w:spacing w:val="-2"/>
        </w:rPr>
        <w:tab/>
      </w:r>
      <w:r w:rsidR="005B24DA" w:rsidRPr="00477CFC">
        <w:rPr>
          <w:rFonts w:ascii="Arial" w:hAnsi="Arial" w:cs="Arial"/>
          <w:b/>
          <w:spacing w:val="-3"/>
        </w:rPr>
        <w:t>References</w:t>
      </w:r>
    </w:p>
    <w:p w:rsidR="0051777B" w:rsidRPr="00477CFC" w:rsidRDefault="0051777B" w:rsidP="00AE6D70">
      <w:pPr>
        <w:tabs>
          <w:tab w:val="left" w:pos="-720"/>
        </w:tabs>
        <w:suppressAutoHyphens/>
        <w:rPr>
          <w:rFonts w:ascii="Arial" w:hAnsi="Arial" w:cs="Arial"/>
          <w:b/>
          <w:spacing w:val="-3"/>
        </w:rPr>
      </w:pPr>
    </w:p>
    <w:p w:rsidR="00782F4D" w:rsidRPr="00477CFC" w:rsidRDefault="00782F4D" w:rsidP="00AE6D70">
      <w:pPr>
        <w:tabs>
          <w:tab w:val="left" w:pos="-720"/>
          <w:tab w:val="left" w:pos="0"/>
        </w:tabs>
        <w:suppressAutoHyphens/>
        <w:ind w:left="720" w:hanging="720"/>
        <w:rPr>
          <w:rFonts w:ascii="Arial" w:hAnsi="Arial" w:cs="Arial"/>
          <w:spacing w:val="-2"/>
        </w:rPr>
      </w:pPr>
      <w:r w:rsidRPr="00477CFC">
        <w:rPr>
          <w:rFonts w:ascii="Arial" w:hAnsi="Arial" w:cs="Arial"/>
          <w:spacing w:val="-2"/>
        </w:rPr>
        <w:t>Bershadker, Andrew and Paul Smith. 2005. "Cracking open the Nest Egg:  IRA Withdrawals and Retirement Finance." Mimeo. Federal Reserve Board of Governors.</w:t>
      </w:r>
    </w:p>
    <w:p w:rsidR="002B3E5D" w:rsidRPr="00477CFC" w:rsidRDefault="002B3E5D" w:rsidP="00AE6D70">
      <w:pPr>
        <w:tabs>
          <w:tab w:val="left" w:pos="-720"/>
          <w:tab w:val="left" w:pos="0"/>
        </w:tabs>
        <w:suppressAutoHyphens/>
        <w:ind w:left="720" w:hanging="720"/>
        <w:rPr>
          <w:rFonts w:ascii="Arial" w:hAnsi="Arial" w:cs="Arial"/>
          <w:spacing w:val="-2"/>
        </w:rPr>
      </w:pPr>
    </w:p>
    <w:p w:rsidR="007A69EE" w:rsidRPr="00477CFC" w:rsidRDefault="007A69EE" w:rsidP="00AE6D70">
      <w:pPr>
        <w:ind w:left="720" w:hanging="720"/>
        <w:rPr>
          <w:rFonts w:ascii="Arial" w:hAnsi="Arial" w:cs="Arial"/>
        </w:rPr>
      </w:pPr>
      <w:r w:rsidRPr="00477CFC">
        <w:rPr>
          <w:rFonts w:ascii="Arial" w:hAnsi="Arial" w:cs="Arial"/>
        </w:rPr>
        <w:t>Congressional Budget Office. 2004b. "Tax-Deferred Retirement Savings in Long-Term Revenue Projections."  CBO Paper, May.</w:t>
      </w:r>
    </w:p>
    <w:p w:rsidR="002B3E5D" w:rsidRPr="00477CFC" w:rsidRDefault="002B3E5D" w:rsidP="00AE6D70">
      <w:pPr>
        <w:ind w:left="720" w:hanging="720"/>
        <w:rPr>
          <w:rFonts w:ascii="Arial" w:hAnsi="Arial" w:cs="Arial"/>
        </w:rPr>
      </w:pPr>
    </w:p>
    <w:p w:rsidR="007A69EE" w:rsidRPr="00477CFC" w:rsidRDefault="007A69EE" w:rsidP="00AE6D70">
      <w:pPr>
        <w:ind w:left="720" w:hanging="720"/>
        <w:rPr>
          <w:rFonts w:ascii="Arial" w:hAnsi="Arial" w:cs="Arial"/>
        </w:rPr>
      </w:pPr>
      <w:r w:rsidRPr="00477CFC">
        <w:rPr>
          <w:rFonts w:ascii="Arial" w:hAnsi="Arial" w:cs="Arial"/>
        </w:rPr>
        <w:t>Congressional Budget Office. 2004b. "A Model to Project Flows into and Out of Tax-Deferred Retirement Saving Accounts."  CBO Technical Paper 2004-15.</w:t>
      </w:r>
    </w:p>
    <w:p w:rsidR="002B3E5D" w:rsidRPr="00477CFC" w:rsidRDefault="002B3E5D" w:rsidP="00AE6D70">
      <w:pPr>
        <w:ind w:left="720" w:hanging="720"/>
        <w:rPr>
          <w:rFonts w:ascii="Arial" w:hAnsi="Arial" w:cs="Arial"/>
        </w:rPr>
      </w:pPr>
    </w:p>
    <w:p w:rsidR="002079ED" w:rsidRPr="00477CFC" w:rsidRDefault="002079ED" w:rsidP="00AE6D70">
      <w:pPr>
        <w:ind w:left="720" w:hanging="720"/>
        <w:rPr>
          <w:rFonts w:ascii="Arial" w:hAnsi="Arial" w:cs="Arial"/>
        </w:rPr>
      </w:pPr>
      <w:r w:rsidRPr="00477CFC">
        <w:rPr>
          <w:rFonts w:ascii="Arial" w:hAnsi="Arial" w:cs="Arial"/>
        </w:rPr>
        <w:t xml:space="preserve">Engelhardt, Gary and Christopher Cunningham, "Federal Tax </w:t>
      </w:r>
      <w:r w:rsidR="000A1395" w:rsidRPr="00477CFC">
        <w:rPr>
          <w:rFonts w:ascii="Arial" w:hAnsi="Arial" w:cs="Arial"/>
        </w:rPr>
        <w:t>P</w:t>
      </w:r>
      <w:r w:rsidRPr="00477CFC">
        <w:rPr>
          <w:rFonts w:ascii="Arial" w:hAnsi="Arial" w:cs="Arial"/>
        </w:rPr>
        <w:t xml:space="preserve">olicy, Employer Matching, and 401(k) Saving: Evidence from HRS W-2 Records," National Tax Journal. Vol. </w:t>
      </w:r>
      <w:smartTag w:uri="urn:schemas-microsoft-com:office:smarttags" w:element="City">
        <w:smartTag w:uri="urn:schemas-microsoft-com:office:smarttags" w:element="place">
          <w:r w:rsidRPr="00477CFC">
            <w:rPr>
              <w:rFonts w:ascii="Arial" w:hAnsi="Arial" w:cs="Arial"/>
            </w:rPr>
            <w:t>LV</w:t>
          </w:r>
        </w:smartTag>
      </w:smartTag>
      <w:r w:rsidRPr="00477CFC">
        <w:rPr>
          <w:rFonts w:ascii="Arial" w:hAnsi="Arial" w:cs="Arial"/>
        </w:rPr>
        <w:t xml:space="preserve"> No. 3.  pp 617-645. September 2002.</w:t>
      </w:r>
    </w:p>
    <w:p w:rsidR="00EE5E53" w:rsidRPr="00477CFC" w:rsidRDefault="00EE5E53" w:rsidP="00AE6D70">
      <w:pPr>
        <w:ind w:left="720" w:hanging="720"/>
        <w:rPr>
          <w:rFonts w:ascii="Arial" w:hAnsi="Arial" w:cs="Arial"/>
        </w:rPr>
      </w:pPr>
    </w:p>
    <w:p w:rsidR="00EE5E53" w:rsidRPr="00477CFC" w:rsidRDefault="00EE5E53" w:rsidP="00EE5E53">
      <w:pPr>
        <w:ind w:left="720" w:hanging="720"/>
        <w:rPr>
          <w:rFonts w:ascii="Arial" w:hAnsi="Arial" w:cs="Arial"/>
        </w:rPr>
      </w:pPr>
      <w:r w:rsidRPr="00477CFC">
        <w:rPr>
          <w:rFonts w:ascii="Arial" w:hAnsi="Arial" w:cs="Arial"/>
        </w:rPr>
        <w:t xml:space="preserve">Holden, Sarah, Kathy Ireland, Vicky Leonard-Chambers, and Michael Bogdan, "The Individual Retirement Account at Age 30: A Retrospective," </w:t>
      </w:r>
      <w:r w:rsidRPr="00477CFC">
        <w:rPr>
          <w:rFonts w:ascii="Arial" w:hAnsi="Arial" w:cs="Arial"/>
          <w:i/>
        </w:rPr>
        <w:t>Perspective</w:t>
      </w:r>
      <w:r w:rsidRPr="00477CFC">
        <w:rPr>
          <w:rFonts w:ascii="Arial" w:hAnsi="Arial" w:cs="Arial"/>
        </w:rPr>
        <w:t>. Investment Company Institute. vol. 11, no. 1, February</w:t>
      </w:r>
    </w:p>
    <w:p w:rsidR="00646286" w:rsidRPr="00477CFC" w:rsidRDefault="00646286" w:rsidP="00EE5E53">
      <w:pPr>
        <w:ind w:left="720" w:hanging="720"/>
        <w:rPr>
          <w:rFonts w:ascii="Arial" w:hAnsi="Arial" w:cs="Arial"/>
        </w:rPr>
      </w:pPr>
    </w:p>
    <w:p w:rsidR="00646286" w:rsidRPr="00477CFC" w:rsidRDefault="00646286" w:rsidP="00EE5E53">
      <w:pPr>
        <w:ind w:left="720" w:hanging="720"/>
        <w:rPr>
          <w:rFonts w:ascii="Arial" w:hAnsi="Arial" w:cs="Arial"/>
        </w:rPr>
      </w:pPr>
      <w:r w:rsidRPr="00477CFC">
        <w:rPr>
          <w:rFonts w:ascii="Arial" w:hAnsi="Arial" w:cs="Arial"/>
        </w:rPr>
        <w:t>Holden, Sarah and Jack VanDerhei. 2001.  “Contribution Behavior of 401(k) Plan Participants,” EBRI Issue Brief Number 238, October.</w:t>
      </w:r>
    </w:p>
    <w:p w:rsidR="002079ED" w:rsidRPr="00477CFC" w:rsidRDefault="002079ED" w:rsidP="00AE6D70">
      <w:pPr>
        <w:ind w:left="720" w:hanging="720"/>
        <w:rPr>
          <w:rFonts w:ascii="Arial" w:hAnsi="Arial" w:cs="Arial"/>
        </w:rPr>
      </w:pPr>
    </w:p>
    <w:p w:rsidR="00932C8C" w:rsidRPr="00477CFC" w:rsidRDefault="00932C8C" w:rsidP="00AE6D70">
      <w:pPr>
        <w:ind w:left="720" w:hanging="720"/>
        <w:rPr>
          <w:rFonts w:ascii="Arial" w:hAnsi="Arial" w:cs="Arial"/>
        </w:rPr>
      </w:pPr>
      <w:r w:rsidRPr="00477CFC">
        <w:rPr>
          <w:rFonts w:ascii="Arial" w:hAnsi="Arial" w:cs="Arial"/>
        </w:rPr>
        <w:t xml:space="preserve">Holden, Sarah and Jack VanDerhei. 2002a. "Can 401(k) Accumulations Generate Significant Income for Future Retirees?"  </w:t>
      </w:r>
      <w:r w:rsidRPr="00477CFC">
        <w:rPr>
          <w:rFonts w:ascii="Arial" w:hAnsi="Arial" w:cs="Arial"/>
          <w:i/>
        </w:rPr>
        <w:t>Perspective</w:t>
      </w:r>
      <w:r w:rsidRPr="00477CFC">
        <w:rPr>
          <w:rFonts w:ascii="Arial" w:hAnsi="Arial" w:cs="Arial"/>
        </w:rPr>
        <w:t>. Investment Company Institute. vol. 8, no. 3, November</w:t>
      </w:r>
    </w:p>
    <w:p w:rsidR="002B3E5D" w:rsidRPr="00477CFC" w:rsidRDefault="002B3E5D" w:rsidP="00D53F5E">
      <w:pPr>
        <w:rPr>
          <w:rFonts w:ascii="Arial" w:hAnsi="Arial" w:cs="Arial"/>
        </w:rPr>
      </w:pPr>
    </w:p>
    <w:p w:rsidR="00932C8C" w:rsidRPr="00477CFC" w:rsidRDefault="00932C8C" w:rsidP="00AE6D70">
      <w:pPr>
        <w:ind w:left="720" w:hanging="720"/>
        <w:rPr>
          <w:rFonts w:ascii="Arial" w:hAnsi="Arial" w:cs="Arial"/>
        </w:rPr>
      </w:pPr>
      <w:r w:rsidRPr="00477CFC">
        <w:rPr>
          <w:rFonts w:ascii="Arial" w:hAnsi="Arial" w:cs="Arial"/>
        </w:rPr>
        <w:t xml:space="preserve">Holden, Sarah and Jack VanDerhei. 2002b. "Appendix: EBRI/ICI 401(k) Accumulation Projection Model"  </w:t>
      </w:r>
      <w:r w:rsidRPr="00477CFC">
        <w:rPr>
          <w:rFonts w:ascii="Arial" w:hAnsi="Arial" w:cs="Arial"/>
          <w:i/>
        </w:rPr>
        <w:t>Perspective</w:t>
      </w:r>
      <w:r w:rsidRPr="00477CFC">
        <w:rPr>
          <w:rFonts w:ascii="Arial" w:hAnsi="Arial" w:cs="Arial"/>
        </w:rPr>
        <w:t>. Investment Company Institute. vol. 8, no. 3a, November</w:t>
      </w:r>
    </w:p>
    <w:p w:rsidR="002B3E5D" w:rsidRPr="00477CFC" w:rsidRDefault="002B3E5D" w:rsidP="00AE6D70">
      <w:pPr>
        <w:pStyle w:val="BodyTextIndent2"/>
        <w:rPr>
          <w:rFonts w:ascii="Arial" w:hAnsi="Arial" w:cs="Arial"/>
          <w:sz w:val="24"/>
          <w:szCs w:val="24"/>
        </w:rPr>
      </w:pPr>
    </w:p>
    <w:p w:rsidR="004619E6" w:rsidRPr="00477CFC" w:rsidRDefault="00AE7F0D" w:rsidP="00AE6D70">
      <w:pPr>
        <w:pStyle w:val="BodyTextIndent2"/>
        <w:rPr>
          <w:rFonts w:ascii="Arial" w:hAnsi="Arial" w:cs="Arial"/>
          <w:sz w:val="24"/>
          <w:szCs w:val="24"/>
        </w:rPr>
      </w:pPr>
      <w:r w:rsidRPr="00477CFC">
        <w:rPr>
          <w:rFonts w:ascii="Arial" w:hAnsi="Arial" w:cs="Arial"/>
          <w:sz w:val="24"/>
          <w:szCs w:val="24"/>
        </w:rPr>
        <w:t>Poterba, James, Steven Venti, and David A. Wise,</w:t>
      </w:r>
      <w:r w:rsidR="005B24DA" w:rsidRPr="00477CFC">
        <w:rPr>
          <w:rFonts w:ascii="Arial" w:hAnsi="Arial" w:cs="Arial"/>
          <w:sz w:val="24"/>
          <w:szCs w:val="24"/>
        </w:rPr>
        <w:t xml:space="preserve"> </w:t>
      </w:r>
      <w:r w:rsidRPr="00477CFC">
        <w:rPr>
          <w:rFonts w:ascii="Arial" w:hAnsi="Arial" w:cs="Arial"/>
          <w:sz w:val="24"/>
          <w:szCs w:val="24"/>
        </w:rPr>
        <w:t xml:space="preserve">1998, “Implications of Rising Personal Retirement Saving,” In D.A. Wise, (ed.), </w:t>
      </w:r>
      <w:r w:rsidRPr="00477CFC">
        <w:rPr>
          <w:rFonts w:ascii="Arial" w:hAnsi="Arial" w:cs="Arial"/>
          <w:iCs/>
          <w:sz w:val="24"/>
          <w:szCs w:val="24"/>
        </w:rPr>
        <w:t>Frontiers in the Economics of Aging</w:t>
      </w:r>
      <w:r w:rsidRPr="00477CFC">
        <w:rPr>
          <w:rFonts w:ascii="Arial" w:hAnsi="Arial" w:cs="Arial"/>
          <w:sz w:val="24"/>
          <w:szCs w:val="24"/>
        </w:rPr>
        <w:t xml:space="preserve">, University of </w:t>
      </w:r>
      <w:smartTag w:uri="urn:schemas-microsoft-com:office:smarttags" w:element="City">
        <w:smartTag w:uri="urn:schemas-microsoft-com:office:smarttags" w:element="place">
          <w:r w:rsidRPr="00477CFC">
            <w:rPr>
              <w:rFonts w:ascii="Arial" w:hAnsi="Arial" w:cs="Arial"/>
              <w:sz w:val="24"/>
              <w:szCs w:val="24"/>
            </w:rPr>
            <w:t>Chicago</w:t>
          </w:r>
        </w:smartTag>
      </w:smartTag>
      <w:r w:rsidRPr="00477CFC">
        <w:rPr>
          <w:rFonts w:ascii="Arial" w:hAnsi="Arial" w:cs="Arial"/>
          <w:sz w:val="24"/>
          <w:szCs w:val="24"/>
        </w:rPr>
        <w:t xml:space="preserve"> Press</w:t>
      </w:r>
      <w:r w:rsidR="004619E6" w:rsidRPr="00477CFC">
        <w:rPr>
          <w:rFonts w:ascii="Arial" w:hAnsi="Arial" w:cs="Arial"/>
          <w:sz w:val="24"/>
          <w:szCs w:val="24"/>
        </w:rPr>
        <w:t>.</w:t>
      </w:r>
    </w:p>
    <w:p w:rsidR="002B3E5D" w:rsidRPr="00477CFC" w:rsidRDefault="002B3E5D" w:rsidP="00AE6D70">
      <w:pPr>
        <w:pStyle w:val="BodyTextIndent2"/>
        <w:rPr>
          <w:rFonts w:ascii="Arial" w:hAnsi="Arial" w:cs="Arial"/>
          <w:sz w:val="24"/>
          <w:szCs w:val="24"/>
        </w:rPr>
      </w:pPr>
    </w:p>
    <w:p w:rsidR="004619E6" w:rsidRPr="00477CFC" w:rsidRDefault="004619E6" w:rsidP="00AE6D70">
      <w:pPr>
        <w:pStyle w:val="BodyTextIndent2"/>
        <w:rPr>
          <w:rFonts w:ascii="Arial" w:hAnsi="Arial" w:cs="Arial"/>
          <w:sz w:val="24"/>
          <w:szCs w:val="24"/>
        </w:rPr>
      </w:pPr>
      <w:r w:rsidRPr="00477CFC">
        <w:rPr>
          <w:rFonts w:ascii="Arial" w:hAnsi="Arial" w:cs="Arial"/>
          <w:sz w:val="24"/>
          <w:szCs w:val="24"/>
        </w:rPr>
        <w:t>P</w:t>
      </w:r>
      <w:r w:rsidR="00AE7F0D" w:rsidRPr="00477CFC">
        <w:rPr>
          <w:rFonts w:ascii="Arial" w:hAnsi="Arial" w:cs="Arial"/>
          <w:sz w:val="24"/>
          <w:szCs w:val="24"/>
        </w:rPr>
        <w:t>oterba, James, Steven Venti, and David A. Wise,</w:t>
      </w:r>
      <w:r w:rsidR="005B24DA" w:rsidRPr="00477CFC">
        <w:rPr>
          <w:rFonts w:ascii="Arial" w:hAnsi="Arial" w:cs="Arial"/>
          <w:sz w:val="24"/>
          <w:szCs w:val="24"/>
        </w:rPr>
        <w:t xml:space="preserve"> </w:t>
      </w:r>
      <w:r w:rsidR="00AE7F0D" w:rsidRPr="00477CFC">
        <w:rPr>
          <w:rFonts w:ascii="Arial" w:hAnsi="Arial" w:cs="Arial"/>
          <w:sz w:val="24"/>
          <w:szCs w:val="24"/>
        </w:rPr>
        <w:t xml:space="preserve">2001, “Preretirement Cashouts and Foregone Retirement Saving: Implications for 401(k) Asset Accumuluation,” In D.A. Wise, (ed.), </w:t>
      </w:r>
      <w:r w:rsidR="00AE7F0D" w:rsidRPr="00477CFC">
        <w:rPr>
          <w:rFonts w:ascii="Arial" w:hAnsi="Arial" w:cs="Arial"/>
          <w:iCs/>
          <w:sz w:val="24"/>
          <w:szCs w:val="24"/>
        </w:rPr>
        <w:t>Themes in the Economics of Aging</w:t>
      </w:r>
      <w:r w:rsidR="00AE7F0D" w:rsidRPr="00477CFC">
        <w:rPr>
          <w:rFonts w:ascii="Arial" w:hAnsi="Arial" w:cs="Arial"/>
          <w:sz w:val="24"/>
          <w:szCs w:val="24"/>
        </w:rPr>
        <w:t xml:space="preserve">, University of </w:t>
      </w:r>
      <w:smartTag w:uri="urn:schemas-microsoft-com:office:smarttags" w:element="City">
        <w:smartTag w:uri="urn:schemas-microsoft-com:office:smarttags" w:element="place">
          <w:r w:rsidR="00AE7F0D" w:rsidRPr="00477CFC">
            <w:rPr>
              <w:rFonts w:ascii="Arial" w:hAnsi="Arial" w:cs="Arial"/>
              <w:sz w:val="24"/>
              <w:szCs w:val="24"/>
            </w:rPr>
            <w:t>Chicago</w:t>
          </w:r>
        </w:smartTag>
      </w:smartTag>
      <w:r w:rsidR="00AE7F0D" w:rsidRPr="00477CFC">
        <w:rPr>
          <w:rFonts w:ascii="Arial" w:hAnsi="Arial" w:cs="Arial"/>
          <w:sz w:val="24"/>
          <w:szCs w:val="24"/>
        </w:rPr>
        <w:t xml:space="preserve"> Press</w:t>
      </w:r>
      <w:r w:rsidRPr="00477CFC">
        <w:rPr>
          <w:rFonts w:ascii="Arial" w:hAnsi="Arial" w:cs="Arial"/>
          <w:sz w:val="24"/>
          <w:szCs w:val="24"/>
        </w:rPr>
        <w:t xml:space="preserve">.  </w:t>
      </w:r>
    </w:p>
    <w:p w:rsidR="002B3E5D" w:rsidRPr="00477CFC" w:rsidRDefault="002B3E5D" w:rsidP="00AE6D70">
      <w:pPr>
        <w:pStyle w:val="BodyTextIndent2"/>
        <w:rPr>
          <w:rFonts w:ascii="Arial" w:hAnsi="Arial" w:cs="Arial"/>
          <w:sz w:val="24"/>
          <w:szCs w:val="24"/>
        </w:rPr>
      </w:pPr>
    </w:p>
    <w:p w:rsidR="005B24DA" w:rsidRPr="00477CFC" w:rsidRDefault="004619E6" w:rsidP="00AE6D70">
      <w:pPr>
        <w:pStyle w:val="BodyTextIndent2"/>
        <w:rPr>
          <w:rFonts w:ascii="Arial" w:hAnsi="Arial" w:cs="Arial"/>
          <w:sz w:val="24"/>
          <w:szCs w:val="24"/>
        </w:rPr>
      </w:pPr>
      <w:r w:rsidRPr="00477CFC">
        <w:rPr>
          <w:rFonts w:ascii="Arial" w:hAnsi="Arial" w:cs="Arial"/>
          <w:sz w:val="24"/>
          <w:szCs w:val="24"/>
        </w:rPr>
        <w:t>P</w:t>
      </w:r>
      <w:r w:rsidR="005B24DA" w:rsidRPr="00477CFC">
        <w:rPr>
          <w:rFonts w:ascii="Arial" w:hAnsi="Arial" w:cs="Arial"/>
          <w:sz w:val="24"/>
          <w:szCs w:val="24"/>
        </w:rPr>
        <w:t xml:space="preserve">oterba, James, Steven Venti, and David A. Wise, 2004, “The Transition to Personal Accounts and Increasing Retirement Wealth: Macro and Micro Evidence,” In D.A. Wise, (ed.), </w:t>
      </w:r>
      <w:r w:rsidR="005B24DA" w:rsidRPr="00477CFC">
        <w:rPr>
          <w:rFonts w:ascii="Arial" w:hAnsi="Arial" w:cs="Arial"/>
          <w:iCs/>
          <w:sz w:val="24"/>
          <w:szCs w:val="24"/>
        </w:rPr>
        <w:t>Perspectives on the Economics of Aging</w:t>
      </w:r>
      <w:r w:rsidR="005B24DA" w:rsidRPr="00477CFC">
        <w:rPr>
          <w:rFonts w:ascii="Arial" w:hAnsi="Arial" w:cs="Arial"/>
          <w:sz w:val="24"/>
          <w:szCs w:val="24"/>
        </w:rPr>
        <w:t xml:space="preserve">, University of </w:t>
      </w:r>
      <w:smartTag w:uri="urn:schemas-microsoft-com:office:smarttags" w:element="City">
        <w:smartTag w:uri="urn:schemas-microsoft-com:office:smarttags" w:element="place">
          <w:r w:rsidR="005B24DA" w:rsidRPr="00477CFC">
            <w:rPr>
              <w:rFonts w:ascii="Arial" w:hAnsi="Arial" w:cs="Arial"/>
              <w:sz w:val="24"/>
              <w:szCs w:val="24"/>
            </w:rPr>
            <w:t>Chicago</w:t>
          </w:r>
        </w:smartTag>
      </w:smartTag>
      <w:r w:rsidR="005B24DA" w:rsidRPr="00477CFC">
        <w:rPr>
          <w:rFonts w:ascii="Arial" w:hAnsi="Arial" w:cs="Arial"/>
          <w:sz w:val="24"/>
          <w:szCs w:val="24"/>
        </w:rPr>
        <w:t xml:space="preserve"> Press.  </w:t>
      </w:r>
    </w:p>
    <w:p w:rsidR="002B3E5D" w:rsidRPr="00477CFC" w:rsidRDefault="002B3E5D" w:rsidP="00AE6D70">
      <w:pPr>
        <w:pStyle w:val="BodyTextIndent2"/>
        <w:rPr>
          <w:rFonts w:ascii="Arial" w:hAnsi="Arial" w:cs="Arial"/>
          <w:sz w:val="24"/>
          <w:szCs w:val="24"/>
        </w:rPr>
      </w:pPr>
    </w:p>
    <w:p w:rsidR="002B3E5D" w:rsidRPr="00477CFC" w:rsidRDefault="00C87FC8" w:rsidP="00D61C2D">
      <w:pPr>
        <w:pStyle w:val="BodyTextIndent2"/>
        <w:rPr>
          <w:rFonts w:ascii="Arial" w:hAnsi="Arial" w:cs="Arial"/>
          <w:color w:val="000000"/>
          <w:sz w:val="24"/>
          <w:szCs w:val="24"/>
        </w:rPr>
      </w:pPr>
      <w:r w:rsidRPr="00477CFC">
        <w:rPr>
          <w:rFonts w:ascii="Arial" w:hAnsi="Arial" w:cs="Arial"/>
          <w:color w:val="000000"/>
          <w:sz w:val="24"/>
          <w:szCs w:val="24"/>
        </w:rPr>
        <w:lastRenderedPageBreak/>
        <w:t>Poterba, James, Steven F. Venti, and David A. Wise, (2007a) "The Decline of Defined Benefit Retirement Plans and Asset Flows."</w:t>
      </w:r>
      <w:r w:rsidRPr="00477CFC">
        <w:rPr>
          <w:rFonts w:ascii="Arial" w:hAnsi="Arial" w:cs="Arial"/>
          <w:i/>
          <w:iCs/>
          <w:color w:val="000000"/>
          <w:sz w:val="24"/>
          <w:szCs w:val="24"/>
        </w:rPr>
        <w:t xml:space="preserve"> NBER Working Paper #12834</w:t>
      </w:r>
      <w:r w:rsidRPr="00477CFC">
        <w:rPr>
          <w:rFonts w:ascii="Arial" w:hAnsi="Arial" w:cs="Arial"/>
          <w:color w:val="000000"/>
          <w:sz w:val="24"/>
          <w:szCs w:val="24"/>
        </w:rPr>
        <w:t>.</w:t>
      </w:r>
    </w:p>
    <w:p w:rsidR="00C87FC8" w:rsidRPr="00477CFC" w:rsidRDefault="00C87FC8" w:rsidP="00D61C2D">
      <w:pPr>
        <w:pStyle w:val="BodyTextIndent2"/>
        <w:rPr>
          <w:rFonts w:ascii="Arial" w:hAnsi="Arial" w:cs="Arial"/>
          <w:color w:val="000000"/>
          <w:sz w:val="24"/>
          <w:szCs w:val="24"/>
        </w:rPr>
      </w:pPr>
    </w:p>
    <w:p w:rsidR="000A62C5" w:rsidRPr="00477CFC" w:rsidRDefault="00C87FC8" w:rsidP="00667985">
      <w:pPr>
        <w:ind w:left="720" w:hanging="720"/>
        <w:rPr>
          <w:rFonts w:ascii="Arial" w:hAnsi="Arial" w:cs="Arial"/>
        </w:rPr>
      </w:pPr>
      <w:r w:rsidRPr="00477CFC">
        <w:rPr>
          <w:rFonts w:ascii="Arial" w:hAnsi="Arial" w:cs="Arial"/>
          <w:color w:val="000000"/>
        </w:rPr>
        <w:t>Poterba, James, Steven F. Venti, and David A. Wise, (2007b)</w:t>
      </w:r>
      <w:r w:rsidR="000A62C5" w:rsidRPr="00477CFC">
        <w:rPr>
          <w:rFonts w:ascii="Arial" w:hAnsi="Arial" w:cs="Arial"/>
          <w:color w:val="000000"/>
        </w:rPr>
        <w:t>,</w:t>
      </w:r>
      <w:r w:rsidRPr="00477CFC">
        <w:rPr>
          <w:rFonts w:ascii="Arial" w:hAnsi="Arial" w:cs="Arial"/>
          <w:color w:val="000000"/>
        </w:rPr>
        <w:t xml:space="preserve"> </w:t>
      </w:r>
      <w:r w:rsidR="000A62C5" w:rsidRPr="00477CFC">
        <w:rPr>
          <w:rFonts w:ascii="Arial" w:hAnsi="Arial" w:cs="Arial"/>
          <w:color w:val="000000"/>
        </w:rPr>
        <w:t>“</w:t>
      </w:r>
      <w:r w:rsidR="000105FA" w:rsidRPr="00477CFC">
        <w:rPr>
          <w:rFonts w:ascii="Arial" w:hAnsi="Arial" w:cs="Arial"/>
          <w:color w:val="000000"/>
        </w:rPr>
        <w:t>The Rise of 401(k) Plans, Lifetime Earnings, and Wealth at Retirement</w:t>
      </w:r>
      <w:r w:rsidR="000105FA" w:rsidRPr="00477CFC">
        <w:rPr>
          <w:rFonts w:ascii="Arial" w:hAnsi="Arial" w:cs="Arial"/>
        </w:rPr>
        <w:t>.”</w:t>
      </w:r>
    </w:p>
    <w:p w:rsidR="002B3E5D" w:rsidRPr="00477CFC" w:rsidRDefault="002B3E5D" w:rsidP="00AE6D70">
      <w:pPr>
        <w:pStyle w:val="BodyTextIndent"/>
        <w:spacing w:line="240" w:lineRule="auto"/>
        <w:jc w:val="left"/>
        <w:rPr>
          <w:rFonts w:ascii="Arial" w:hAnsi="Arial" w:cs="Arial"/>
          <w:sz w:val="24"/>
          <w:szCs w:val="24"/>
        </w:rPr>
      </w:pPr>
    </w:p>
    <w:p w:rsidR="00397934" w:rsidRPr="00477CFC" w:rsidRDefault="00397934" w:rsidP="00AE6D70">
      <w:pPr>
        <w:pStyle w:val="BodyTextIndent"/>
        <w:spacing w:line="240" w:lineRule="auto"/>
        <w:jc w:val="left"/>
        <w:rPr>
          <w:rFonts w:ascii="Arial" w:hAnsi="Arial" w:cs="Arial"/>
          <w:sz w:val="24"/>
          <w:szCs w:val="24"/>
        </w:rPr>
      </w:pPr>
      <w:r w:rsidRPr="00477CFC">
        <w:rPr>
          <w:rFonts w:ascii="Arial" w:hAnsi="Arial" w:cs="Arial"/>
          <w:sz w:val="24"/>
          <w:szCs w:val="24"/>
        </w:rPr>
        <w:t>Stewart, Jay, 2002, "Recent trends in Job Stability and Job Security: Evidence from the March CPS," U.S. Department of Labor, Office of Employment and Unemployment Statistics, Working Paper No. 356.</w:t>
      </w:r>
    </w:p>
    <w:p w:rsidR="002B3E5D" w:rsidRPr="00477CFC" w:rsidRDefault="002B3E5D" w:rsidP="00AE6D70">
      <w:pPr>
        <w:pStyle w:val="BodyTextIndent"/>
        <w:spacing w:line="240" w:lineRule="auto"/>
        <w:jc w:val="left"/>
        <w:rPr>
          <w:rFonts w:ascii="Arial" w:hAnsi="Arial" w:cs="Arial"/>
          <w:color w:val="FF0000"/>
          <w:sz w:val="24"/>
          <w:szCs w:val="24"/>
        </w:rPr>
      </w:pPr>
    </w:p>
    <w:p w:rsidR="00EE2DAD" w:rsidRPr="00477CFC" w:rsidRDefault="00AB470A" w:rsidP="00AE6D70">
      <w:pPr>
        <w:spacing w:before="120" w:after="120"/>
        <w:ind w:left="1440"/>
        <w:rPr>
          <w:rFonts w:ascii="Arial" w:hAnsi="Arial" w:cs="Arial"/>
          <w:spacing w:val="-2"/>
        </w:rPr>
      </w:pPr>
      <w:r w:rsidRPr="00477CFC">
        <w:rPr>
          <w:rFonts w:ascii="Arial" w:hAnsi="Arial" w:cs="Arial"/>
          <w:spacing w:val="-2"/>
        </w:rPr>
        <w:br w:type="page"/>
      </w:r>
    </w:p>
    <w:p w:rsidR="009F01FF" w:rsidRPr="00477CFC" w:rsidRDefault="00F24656" w:rsidP="001E1E0E">
      <w:pPr>
        <w:spacing w:before="120" w:after="120"/>
        <w:rPr>
          <w:rFonts w:ascii="Arial" w:hAnsi="Arial" w:cs="Arial"/>
          <w:b/>
          <w:spacing w:val="-2"/>
        </w:rPr>
      </w:pPr>
      <w:r w:rsidRPr="00477CFC">
        <w:rPr>
          <w:rFonts w:ascii="Arial" w:hAnsi="Arial" w:cs="Arial"/>
          <w:b/>
          <w:spacing w:val="-2"/>
        </w:rPr>
        <w:t xml:space="preserve">Appendix on </w:t>
      </w:r>
      <w:r w:rsidR="009F01FF" w:rsidRPr="00477CFC">
        <w:rPr>
          <w:rFonts w:ascii="Arial" w:hAnsi="Arial" w:cs="Arial"/>
          <w:b/>
          <w:spacing w:val="-2"/>
        </w:rPr>
        <w:t xml:space="preserve">Tax </w:t>
      </w:r>
      <w:r w:rsidRPr="00477CFC">
        <w:rPr>
          <w:rFonts w:ascii="Arial" w:hAnsi="Arial" w:cs="Arial"/>
          <w:b/>
          <w:spacing w:val="-2"/>
        </w:rPr>
        <w:t>L</w:t>
      </w:r>
      <w:r w:rsidR="009F01FF" w:rsidRPr="00477CFC">
        <w:rPr>
          <w:rFonts w:ascii="Arial" w:hAnsi="Arial" w:cs="Arial"/>
          <w:b/>
          <w:spacing w:val="-2"/>
        </w:rPr>
        <w:t xml:space="preserve">egislation and </w:t>
      </w:r>
      <w:r w:rsidRPr="00477CFC">
        <w:rPr>
          <w:rFonts w:ascii="Arial" w:hAnsi="Arial" w:cs="Arial"/>
          <w:b/>
          <w:spacing w:val="-2"/>
        </w:rPr>
        <w:t>R</w:t>
      </w:r>
      <w:r w:rsidR="009F01FF" w:rsidRPr="00477CFC">
        <w:rPr>
          <w:rFonts w:ascii="Arial" w:hAnsi="Arial" w:cs="Arial"/>
          <w:b/>
          <w:spacing w:val="-2"/>
        </w:rPr>
        <w:t xml:space="preserve">etirement </w:t>
      </w:r>
      <w:r w:rsidRPr="00477CFC">
        <w:rPr>
          <w:rFonts w:ascii="Arial" w:hAnsi="Arial" w:cs="Arial"/>
          <w:b/>
          <w:spacing w:val="-2"/>
        </w:rPr>
        <w:t>S</w:t>
      </w:r>
      <w:r w:rsidR="009F01FF" w:rsidRPr="00477CFC">
        <w:rPr>
          <w:rFonts w:ascii="Arial" w:hAnsi="Arial" w:cs="Arial"/>
          <w:b/>
          <w:spacing w:val="-2"/>
        </w:rPr>
        <w:t xml:space="preserve">aving </w:t>
      </w:r>
      <w:r w:rsidRPr="00477CFC">
        <w:rPr>
          <w:rFonts w:ascii="Arial" w:hAnsi="Arial" w:cs="Arial"/>
          <w:b/>
          <w:spacing w:val="-2"/>
        </w:rPr>
        <w:t>O</w:t>
      </w:r>
      <w:r w:rsidR="009F01FF" w:rsidRPr="00477CFC">
        <w:rPr>
          <w:rFonts w:ascii="Arial" w:hAnsi="Arial" w:cs="Arial"/>
          <w:b/>
          <w:spacing w:val="-2"/>
        </w:rPr>
        <w:t xml:space="preserve">ptions:  401(k) and </w:t>
      </w:r>
      <w:r w:rsidRPr="00477CFC">
        <w:rPr>
          <w:rFonts w:ascii="Arial" w:hAnsi="Arial" w:cs="Arial"/>
          <w:b/>
          <w:spacing w:val="-2"/>
        </w:rPr>
        <w:t>O</w:t>
      </w:r>
      <w:r w:rsidR="009F01FF" w:rsidRPr="00477CFC">
        <w:rPr>
          <w:rFonts w:ascii="Arial" w:hAnsi="Arial" w:cs="Arial"/>
          <w:b/>
          <w:spacing w:val="-2"/>
        </w:rPr>
        <w:t xml:space="preserve">ther </w:t>
      </w:r>
      <w:r w:rsidRPr="00477CFC">
        <w:rPr>
          <w:rFonts w:ascii="Arial" w:hAnsi="Arial" w:cs="Arial"/>
          <w:b/>
          <w:spacing w:val="-2"/>
        </w:rPr>
        <w:t>P</w:t>
      </w:r>
      <w:r w:rsidR="009F01FF" w:rsidRPr="00477CFC">
        <w:rPr>
          <w:rFonts w:ascii="Arial" w:hAnsi="Arial" w:cs="Arial"/>
          <w:b/>
          <w:spacing w:val="-2"/>
        </w:rPr>
        <w:t xml:space="preserve">ersonal </w:t>
      </w:r>
      <w:r w:rsidRPr="00477CFC">
        <w:rPr>
          <w:rFonts w:ascii="Arial" w:hAnsi="Arial" w:cs="Arial"/>
          <w:b/>
          <w:spacing w:val="-2"/>
        </w:rPr>
        <w:t>Retirement A</w:t>
      </w:r>
      <w:r w:rsidR="009F01FF" w:rsidRPr="00477CFC">
        <w:rPr>
          <w:rFonts w:ascii="Arial" w:hAnsi="Arial" w:cs="Arial"/>
          <w:b/>
          <w:spacing w:val="-2"/>
        </w:rPr>
        <w:t>ccounts</w:t>
      </w:r>
    </w:p>
    <w:p w:rsidR="001E1E0E" w:rsidRPr="00477CFC" w:rsidRDefault="00AB470A" w:rsidP="001E1E0E">
      <w:pPr>
        <w:spacing w:before="120" w:after="120"/>
        <w:rPr>
          <w:rFonts w:ascii="Arial" w:hAnsi="Arial" w:cs="Arial"/>
        </w:rPr>
      </w:pPr>
      <w:r w:rsidRPr="00477CFC">
        <w:rPr>
          <w:rFonts w:ascii="Arial" w:hAnsi="Arial" w:cs="Arial"/>
          <w:b/>
        </w:rPr>
        <w:tab/>
      </w:r>
      <w:r w:rsidR="006A683E" w:rsidRPr="00477CFC">
        <w:rPr>
          <w:rFonts w:ascii="Arial" w:hAnsi="Arial" w:cs="Arial"/>
        </w:rPr>
        <w:t>Personal retirement accounts were initiated in 1982.  More recent legislations has aimed to further increase personal retirement saving.  In particular, b</w:t>
      </w:r>
      <w:r w:rsidRPr="00477CFC">
        <w:rPr>
          <w:rFonts w:ascii="Arial" w:hAnsi="Arial" w:cs="Arial"/>
        </w:rPr>
        <w:t>oth the Taxpayer Relief Act of 1997 and the Economic Growth and Tax Relief Reconciliation Act of 2001 (EGTRRA) included provisions that were designed to induce more retirement saving, principally through tax-deferred</w:t>
      </w:r>
      <w:r w:rsidR="006A683E" w:rsidRPr="00477CFC">
        <w:rPr>
          <w:rFonts w:ascii="Arial" w:hAnsi="Arial" w:cs="Arial"/>
        </w:rPr>
        <w:t xml:space="preserve"> personal retirement</w:t>
      </w:r>
      <w:r w:rsidRPr="00477CFC">
        <w:rPr>
          <w:rFonts w:ascii="Arial" w:hAnsi="Arial" w:cs="Arial"/>
        </w:rPr>
        <w:t xml:space="preserve"> accounts.  These bills established Roth IRA</w:t>
      </w:r>
      <w:r w:rsidR="00391E8A" w:rsidRPr="00477CFC">
        <w:rPr>
          <w:rFonts w:ascii="Arial" w:hAnsi="Arial" w:cs="Arial"/>
        </w:rPr>
        <w:t>s</w:t>
      </w:r>
      <w:r w:rsidRPr="00477CFC">
        <w:rPr>
          <w:rFonts w:ascii="Arial" w:hAnsi="Arial" w:cs="Arial"/>
        </w:rPr>
        <w:t xml:space="preserve"> and increased contribution limits to traditional IRAs</w:t>
      </w:r>
      <w:r w:rsidR="00391E8A" w:rsidRPr="00477CFC">
        <w:rPr>
          <w:rFonts w:ascii="Arial" w:hAnsi="Arial" w:cs="Arial"/>
        </w:rPr>
        <w:t xml:space="preserve">, </w:t>
      </w:r>
      <w:r w:rsidRPr="00477CFC">
        <w:rPr>
          <w:rFonts w:ascii="Arial" w:hAnsi="Arial" w:cs="Arial"/>
        </w:rPr>
        <w:t>401(k)</w:t>
      </w:r>
      <w:r w:rsidR="00687418" w:rsidRPr="00477CFC">
        <w:rPr>
          <w:rFonts w:ascii="Arial" w:hAnsi="Arial" w:cs="Arial"/>
        </w:rPr>
        <w:t xml:space="preserve"> plans</w:t>
      </w:r>
      <w:r w:rsidR="00391E8A" w:rsidRPr="00477CFC">
        <w:rPr>
          <w:rFonts w:ascii="Arial" w:hAnsi="Arial" w:cs="Arial"/>
        </w:rPr>
        <w:t xml:space="preserve">, and </w:t>
      </w:r>
      <w:r w:rsidRPr="00477CFC">
        <w:rPr>
          <w:rFonts w:ascii="Arial" w:hAnsi="Arial" w:cs="Arial"/>
        </w:rPr>
        <w:t>other personal accounts.  EGTRRA also introduced tax credits for low-income taxpayers who make contributions to IRAs, Roth IRAs, 401(k)</w:t>
      </w:r>
      <w:r w:rsidR="00687418" w:rsidRPr="00477CFC">
        <w:rPr>
          <w:rFonts w:ascii="Arial" w:hAnsi="Arial" w:cs="Arial"/>
        </w:rPr>
        <w:t xml:space="preserve"> plan</w:t>
      </w:r>
      <w:r w:rsidRPr="00477CFC">
        <w:rPr>
          <w:rFonts w:ascii="Arial" w:hAnsi="Arial" w:cs="Arial"/>
        </w:rPr>
        <w:t>s, and other personal accounts.  We describ</w:t>
      </w:r>
      <w:r w:rsidR="00687418" w:rsidRPr="00477CFC">
        <w:rPr>
          <w:rFonts w:ascii="Arial" w:hAnsi="Arial" w:cs="Arial"/>
        </w:rPr>
        <w:t xml:space="preserve">e here </w:t>
      </w:r>
      <w:r w:rsidRPr="00477CFC">
        <w:rPr>
          <w:rFonts w:ascii="Arial" w:hAnsi="Arial" w:cs="Arial"/>
        </w:rPr>
        <w:t>some of the more important recent changes to the IRA and 401(k) programs.</w:t>
      </w:r>
    </w:p>
    <w:p w:rsidR="00A471F0" w:rsidRPr="00477CFC" w:rsidRDefault="00A471F0" w:rsidP="00A471F0">
      <w:pPr>
        <w:ind w:firstLine="720"/>
        <w:rPr>
          <w:rFonts w:ascii="Arial" w:hAnsi="Arial" w:cs="Arial"/>
        </w:rPr>
      </w:pPr>
      <w:r w:rsidRPr="00477CFC">
        <w:rPr>
          <w:rFonts w:ascii="Arial" w:hAnsi="Arial" w:cs="Arial"/>
          <w:b/>
        </w:rPr>
        <w:t>Contribution Limits for 401(k) Plans:</w:t>
      </w:r>
      <w:r w:rsidRPr="00477CFC">
        <w:rPr>
          <w:rFonts w:ascii="Arial" w:hAnsi="Arial" w:cs="Arial"/>
        </w:rPr>
        <w:t xml:space="preserve">  </w:t>
      </w:r>
      <w:r w:rsidR="00667985" w:rsidRPr="00477CFC">
        <w:rPr>
          <w:rFonts w:ascii="Arial" w:hAnsi="Arial" w:cs="Arial"/>
        </w:rPr>
        <w:t xml:space="preserve">In 2001 there were three restrictions on the amount that could be contributed to a 401(k) plan: </w:t>
      </w:r>
      <w:r w:rsidR="009277DD" w:rsidRPr="00477CFC">
        <w:rPr>
          <w:rFonts w:ascii="Arial" w:hAnsi="Arial" w:cs="Arial"/>
        </w:rPr>
        <w:t>(1</w:t>
      </w:r>
      <w:r w:rsidR="00667985" w:rsidRPr="00477CFC">
        <w:rPr>
          <w:rFonts w:ascii="Arial" w:hAnsi="Arial" w:cs="Arial"/>
        </w:rPr>
        <w:t xml:space="preserve">) a $10,500 dollar limit on the employee's annual contribution, </w:t>
      </w:r>
      <w:r w:rsidR="00BB3A7E" w:rsidRPr="00477CFC">
        <w:rPr>
          <w:rFonts w:ascii="Arial" w:hAnsi="Arial" w:cs="Arial"/>
        </w:rPr>
        <w:t>(2</w:t>
      </w:r>
      <w:r w:rsidR="00667985" w:rsidRPr="00477CFC">
        <w:rPr>
          <w:rFonts w:ascii="Arial" w:hAnsi="Arial" w:cs="Arial"/>
        </w:rPr>
        <w:t xml:space="preserve">) a $35,000 limit on combined employee and employer contributions, and </w:t>
      </w:r>
      <w:r w:rsidR="00BB3A7E" w:rsidRPr="00477CFC">
        <w:rPr>
          <w:rFonts w:ascii="Arial" w:hAnsi="Arial" w:cs="Arial"/>
        </w:rPr>
        <w:t>(3</w:t>
      </w:r>
      <w:r w:rsidR="00667985" w:rsidRPr="00477CFC">
        <w:rPr>
          <w:rFonts w:ascii="Arial" w:hAnsi="Arial" w:cs="Arial"/>
        </w:rPr>
        <w:t xml:space="preserve">) combined employee and employer contributions were limited to 25 percent of total compensation.  By 2006, the annual limit on the employee's contribution has increased to $15,000, the combined dollar limit had increased to $40,000, and the percentage limit is now 100 percent of compensation.  Both of the dollar limits will be indexed to the CPI beginning in 2007.   </w:t>
      </w:r>
    </w:p>
    <w:p w:rsidR="00A471F0" w:rsidRPr="00477CFC" w:rsidRDefault="00A471F0" w:rsidP="00A471F0">
      <w:pPr>
        <w:ind w:firstLine="720"/>
        <w:rPr>
          <w:rFonts w:ascii="Arial" w:hAnsi="Arial" w:cs="Arial"/>
        </w:rPr>
      </w:pPr>
    </w:p>
    <w:p w:rsidR="00A471F0" w:rsidRPr="00477CFC" w:rsidRDefault="00A471F0" w:rsidP="00A471F0">
      <w:pPr>
        <w:ind w:firstLine="720"/>
        <w:rPr>
          <w:rFonts w:ascii="Arial" w:hAnsi="Arial" w:cs="Arial"/>
        </w:rPr>
      </w:pPr>
      <w:r w:rsidRPr="00477CFC">
        <w:rPr>
          <w:rFonts w:ascii="Arial" w:hAnsi="Arial" w:cs="Arial"/>
          <w:b/>
        </w:rPr>
        <w:t>Catch-up Contributions to 401(k) Plans:</w:t>
      </w:r>
      <w:r w:rsidRPr="00477CFC">
        <w:rPr>
          <w:rFonts w:ascii="Arial" w:hAnsi="Arial" w:cs="Arial"/>
        </w:rPr>
        <w:t xml:space="preserve">  The 2001 legislation also contains a catch-up provision for participants age 50 or older.  The allowable catch-up contribution was $1,000 for 2002, and it increase</w:t>
      </w:r>
      <w:r w:rsidR="006A683E" w:rsidRPr="00477CFC">
        <w:rPr>
          <w:rFonts w:ascii="Arial" w:hAnsi="Arial" w:cs="Arial"/>
        </w:rPr>
        <w:t xml:space="preserve">d </w:t>
      </w:r>
      <w:r w:rsidRPr="00477CFC">
        <w:rPr>
          <w:rFonts w:ascii="Arial" w:hAnsi="Arial" w:cs="Arial"/>
        </w:rPr>
        <w:t xml:space="preserve">in steps until it reaches $5,000 in 2007.  After 2007, the catch-up </w:t>
      </w:r>
      <w:r w:rsidR="00163D88" w:rsidRPr="00477CFC">
        <w:rPr>
          <w:rFonts w:ascii="Arial" w:hAnsi="Arial" w:cs="Arial"/>
        </w:rPr>
        <w:t>contribution for 401(k)</w:t>
      </w:r>
      <w:r w:rsidRPr="00477CFC">
        <w:rPr>
          <w:rFonts w:ascii="Arial" w:hAnsi="Arial" w:cs="Arial"/>
        </w:rPr>
        <w:t xml:space="preserve"> is indexed to inflation.</w:t>
      </w:r>
    </w:p>
    <w:p w:rsidR="001C3939" w:rsidRPr="00477CFC" w:rsidRDefault="00A471F0" w:rsidP="006A683E">
      <w:pPr>
        <w:spacing w:before="120" w:after="120"/>
        <w:rPr>
          <w:rFonts w:ascii="Arial" w:hAnsi="Arial" w:cs="Arial"/>
          <w:strike/>
        </w:rPr>
      </w:pPr>
      <w:r w:rsidRPr="00477CFC">
        <w:rPr>
          <w:rFonts w:ascii="Arial" w:hAnsi="Arial" w:cs="Arial"/>
        </w:rPr>
        <w:tab/>
      </w:r>
      <w:r w:rsidR="001C3939" w:rsidRPr="00477CFC">
        <w:rPr>
          <w:rFonts w:ascii="Arial" w:hAnsi="Arial" w:cs="Arial"/>
          <w:b/>
        </w:rPr>
        <w:t xml:space="preserve">Contribution Limits for </w:t>
      </w:r>
      <w:r w:rsidR="004E003F" w:rsidRPr="00477CFC">
        <w:rPr>
          <w:rFonts w:ascii="Arial" w:hAnsi="Arial" w:cs="Arial"/>
          <w:b/>
        </w:rPr>
        <w:t xml:space="preserve">Traditional </w:t>
      </w:r>
      <w:r w:rsidR="001C3939" w:rsidRPr="00477CFC">
        <w:rPr>
          <w:rFonts w:ascii="Arial" w:hAnsi="Arial" w:cs="Arial"/>
          <w:b/>
        </w:rPr>
        <w:t>IRAs:</w:t>
      </w:r>
      <w:r w:rsidR="001C3939" w:rsidRPr="00477CFC">
        <w:rPr>
          <w:rFonts w:ascii="Arial" w:hAnsi="Arial" w:cs="Arial"/>
        </w:rPr>
        <w:t xml:space="preserve">  Contribution limits to a traditional IRA were originally set in 1981 at $2,000 per working spouse and $250 for a nonworking spouse.  A provision in the Small Business Job Protection Act of 1996 raised the deduction available to a non-working spouse from $250 to $2,000 effective in 1997, thus increasing the combined deduction for a family with a non-working spouse from $2,250 to $4,000.  </w:t>
      </w:r>
      <w:r w:rsidR="004E003F" w:rsidRPr="00477CFC">
        <w:rPr>
          <w:rFonts w:ascii="Arial" w:hAnsi="Arial" w:cs="Arial"/>
        </w:rPr>
        <w:t>The limits have since be</w:t>
      </w:r>
      <w:r w:rsidR="00E76878" w:rsidRPr="00477CFC">
        <w:rPr>
          <w:rFonts w:ascii="Arial" w:hAnsi="Arial" w:cs="Arial"/>
        </w:rPr>
        <w:t>en raised to $4,000 per person</w:t>
      </w:r>
      <w:r w:rsidR="004E003F" w:rsidRPr="00477CFC">
        <w:rPr>
          <w:rFonts w:ascii="Arial" w:hAnsi="Arial" w:cs="Arial"/>
        </w:rPr>
        <w:t xml:space="preserve"> in 2006.  The dollar limit will be indexed to the CPI beginning in 2007. The tax-deductibility of the traditional IRA is phased out </w:t>
      </w:r>
      <w:r w:rsidR="00D70FD2" w:rsidRPr="00477CFC">
        <w:rPr>
          <w:rFonts w:ascii="Arial" w:hAnsi="Arial" w:cs="Arial"/>
        </w:rPr>
        <w:t>for persons covered by an employer pension with incomes</w:t>
      </w:r>
      <w:r w:rsidR="004E003F" w:rsidRPr="00477CFC">
        <w:rPr>
          <w:rFonts w:ascii="Arial" w:hAnsi="Arial" w:cs="Arial"/>
        </w:rPr>
        <w:t xml:space="preserve"> </w:t>
      </w:r>
      <w:r w:rsidR="00D70FD2" w:rsidRPr="00477CFC">
        <w:rPr>
          <w:rFonts w:ascii="Arial" w:hAnsi="Arial" w:cs="Arial"/>
        </w:rPr>
        <w:t>in excess of</w:t>
      </w:r>
      <w:r w:rsidR="004E003F" w:rsidRPr="00477CFC">
        <w:rPr>
          <w:rFonts w:ascii="Arial" w:hAnsi="Arial" w:cs="Arial"/>
        </w:rPr>
        <w:t xml:space="preserve"> $</w:t>
      </w:r>
      <w:r w:rsidR="00DB4E2D" w:rsidRPr="00477CFC">
        <w:rPr>
          <w:rFonts w:ascii="Arial" w:hAnsi="Arial" w:cs="Arial"/>
        </w:rPr>
        <w:t>50</w:t>
      </w:r>
      <w:r w:rsidR="004E003F" w:rsidRPr="00477CFC">
        <w:rPr>
          <w:rFonts w:ascii="Arial" w:hAnsi="Arial" w:cs="Arial"/>
        </w:rPr>
        <w:t>,000 for single persons and $</w:t>
      </w:r>
      <w:r w:rsidR="00DB4E2D" w:rsidRPr="00477CFC">
        <w:rPr>
          <w:rFonts w:ascii="Arial" w:hAnsi="Arial" w:cs="Arial"/>
        </w:rPr>
        <w:t>75</w:t>
      </w:r>
      <w:r w:rsidR="004E003F" w:rsidRPr="00477CFC">
        <w:rPr>
          <w:rFonts w:ascii="Arial" w:hAnsi="Arial" w:cs="Arial"/>
        </w:rPr>
        <w:t xml:space="preserve">,000 for married persons in 2006. </w:t>
      </w:r>
    </w:p>
    <w:p w:rsidR="00DA3668" w:rsidRPr="00477CFC" w:rsidRDefault="00DA3668" w:rsidP="001E1E0E">
      <w:pPr>
        <w:spacing w:before="120" w:after="120"/>
        <w:rPr>
          <w:rFonts w:ascii="Arial" w:hAnsi="Arial" w:cs="Arial"/>
        </w:rPr>
      </w:pPr>
    </w:p>
    <w:p w:rsidR="00DA3668" w:rsidRPr="00477CFC" w:rsidRDefault="00164FF8" w:rsidP="009B31D9">
      <w:pPr>
        <w:spacing w:before="120" w:after="120"/>
        <w:rPr>
          <w:rFonts w:ascii="Arial" w:hAnsi="Arial" w:cs="Arial"/>
          <w:strike/>
        </w:rPr>
      </w:pPr>
      <w:r w:rsidRPr="00477CFC">
        <w:rPr>
          <w:rFonts w:ascii="Arial" w:hAnsi="Arial" w:cs="Arial"/>
          <w:b/>
        </w:rPr>
        <w:tab/>
      </w:r>
      <w:r w:rsidR="00AB470A" w:rsidRPr="00477CFC">
        <w:rPr>
          <w:rFonts w:ascii="Arial" w:hAnsi="Arial" w:cs="Arial"/>
          <w:b/>
        </w:rPr>
        <w:t>Roth IRA</w:t>
      </w:r>
      <w:r w:rsidR="00EE2DAD" w:rsidRPr="00477CFC">
        <w:rPr>
          <w:rFonts w:ascii="Arial" w:hAnsi="Arial" w:cs="Arial"/>
          <w:b/>
        </w:rPr>
        <w:t>:</w:t>
      </w:r>
      <w:r w:rsidR="00AB470A" w:rsidRPr="00477CFC">
        <w:rPr>
          <w:rFonts w:ascii="Arial" w:hAnsi="Arial" w:cs="Arial"/>
        </w:rPr>
        <w:t xml:space="preserve">  The Roth “back-loaded” IRA was introduced in </w:t>
      </w:r>
      <w:r w:rsidR="00391E8A" w:rsidRPr="00477CFC">
        <w:rPr>
          <w:rFonts w:ascii="Arial" w:hAnsi="Arial" w:cs="Arial"/>
        </w:rPr>
        <w:t>1</w:t>
      </w:r>
      <w:r w:rsidR="00AB470A" w:rsidRPr="00477CFC">
        <w:rPr>
          <w:rFonts w:ascii="Arial" w:hAnsi="Arial" w:cs="Arial"/>
        </w:rPr>
        <w:t xml:space="preserve">997.  Contributions to the Roth IRA are not </w:t>
      </w:r>
      <w:r w:rsidR="00391E8A" w:rsidRPr="00477CFC">
        <w:rPr>
          <w:rFonts w:ascii="Arial" w:hAnsi="Arial" w:cs="Arial"/>
        </w:rPr>
        <w:t xml:space="preserve">tax </w:t>
      </w:r>
      <w:r w:rsidR="00AB470A" w:rsidRPr="00477CFC">
        <w:rPr>
          <w:rFonts w:ascii="Arial" w:hAnsi="Arial" w:cs="Arial"/>
        </w:rPr>
        <w:t xml:space="preserve">deductible, but no tax is paid upon withdrawal if the funds are held for at least five years and if the recipient is over </w:t>
      </w:r>
      <w:r w:rsidR="00AB470A" w:rsidRPr="00477CFC">
        <w:rPr>
          <w:rFonts w:ascii="Arial" w:hAnsi="Arial" w:cs="Arial"/>
        </w:rPr>
        <w:lastRenderedPageBreak/>
        <w:t xml:space="preserve">age 59½.  Like the “front-loaded” (traditional) IRA, the investment return </w:t>
      </w:r>
      <w:r w:rsidR="00391E8A" w:rsidRPr="00477CFC">
        <w:rPr>
          <w:rFonts w:ascii="Arial" w:hAnsi="Arial" w:cs="Arial"/>
        </w:rPr>
        <w:t xml:space="preserve">in a Roth IRA </w:t>
      </w:r>
      <w:r w:rsidR="00AB470A" w:rsidRPr="00477CFC">
        <w:rPr>
          <w:rFonts w:ascii="Arial" w:hAnsi="Arial" w:cs="Arial"/>
        </w:rPr>
        <w:t>accrues tax-free. Contribution limits and allowances for penalty-free withdrawals are the same as for the traditional IRA.  However, the Roth IRA contribution limit is specified in after-tax dollars whereas the traditional IRA limit is in pre-tax dollars.  One consequence of this difference is that the potential accumulation of retirement saving is higher under the Roth IRA.  In addition, the income at which eligibility begins to be phased-out is much higher for the Roth IRA ($95-110,000 for single persons and $150</w:t>
      </w:r>
      <w:r w:rsidR="009B31D9" w:rsidRPr="00477CFC">
        <w:rPr>
          <w:rFonts w:ascii="Arial" w:hAnsi="Arial" w:cs="Arial"/>
        </w:rPr>
        <w:t>,000 to $</w:t>
      </w:r>
      <w:r w:rsidR="00AB470A" w:rsidRPr="00477CFC">
        <w:rPr>
          <w:rFonts w:ascii="Arial" w:hAnsi="Arial" w:cs="Arial"/>
        </w:rPr>
        <w:t xml:space="preserve">160,000 for married couples) than for the traditional </w:t>
      </w:r>
      <w:r w:rsidR="00DB4E2D" w:rsidRPr="00477CFC">
        <w:rPr>
          <w:rFonts w:ascii="Arial" w:hAnsi="Arial" w:cs="Arial"/>
        </w:rPr>
        <w:t>IRA.</w:t>
      </w:r>
      <w:r w:rsidR="00DA3668" w:rsidRPr="00477CFC">
        <w:rPr>
          <w:rFonts w:ascii="Arial" w:hAnsi="Arial" w:cs="Arial"/>
        </w:rPr>
        <w:t xml:space="preserve">  </w:t>
      </w:r>
    </w:p>
    <w:p w:rsidR="00BB3A7E" w:rsidRPr="00477CFC" w:rsidRDefault="00BB3A7E" w:rsidP="00BB3A7E">
      <w:pPr>
        <w:ind w:firstLine="720"/>
        <w:rPr>
          <w:rFonts w:ascii="Arial" w:hAnsi="Arial" w:cs="Arial"/>
        </w:rPr>
      </w:pPr>
    </w:p>
    <w:p w:rsidR="00BB3A7E" w:rsidRPr="00477CFC" w:rsidRDefault="00BB3A7E" w:rsidP="00BB3A7E">
      <w:pPr>
        <w:ind w:firstLine="720"/>
        <w:rPr>
          <w:rFonts w:ascii="Arial" w:hAnsi="Arial" w:cs="Arial"/>
        </w:rPr>
      </w:pPr>
      <w:r w:rsidRPr="00477CFC">
        <w:rPr>
          <w:rFonts w:ascii="Arial" w:hAnsi="Arial" w:cs="Arial"/>
          <w:b/>
        </w:rPr>
        <w:t>Catch-up Contributions for Traditional and Roth IRAs:</w:t>
      </w:r>
      <w:r w:rsidRPr="00477CFC">
        <w:rPr>
          <w:rFonts w:ascii="Arial" w:hAnsi="Arial" w:cs="Arial"/>
        </w:rPr>
        <w:t xml:space="preserve">   The catch-up provision in the 2001 legislation allowed persons age 50 or older to contribute an extra $500 per year between 2002 and 2005 and an extra $1000 per year beginning in 2006.  The catch-up contribution for IRAs is not indexed to inflation after 2006.  </w:t>
      </w:r>
    </w:p>
    <w:p w:rsidR="002C0006" w:rsidRPr="00477CFC" w:rsidRDefault="002C0006" w:rsidP="00AE6D70">
      <w:pPr>
        <w:ind w:firstLine="720"/>
        <w:rPr>
          <w:rFonts w:ascii="Arial" w:hAnsi="Arial" w:cs="Arial"/>
        </w:rPr>
      </w:pPr>
    </w:p>
    <w:p w:rsidR="00AB470A" w:rsidRDefault="00AB470A" w:rsidP="00AE6D70">
      <w:pPr>
        <w:ind w:firstLine="720"/>
        <w:rPr>
          <w:rFonts w:ascii="Arial" w:hAnsi="Arial" w:cs="Arial"/>
        </w:rPr>
      </w:pPr>
      <w:r w:rsidRPr="00477CFC">
        <w:rPr>
          <w:rFonts w:ascii="Arial" w:hAnsi="Arial" w:cs="Arial"/>
          <w:b/>
        </w:rPr>
        <w:t>Saver’s Tax Credit</w:t>
      </w:r>
      <w:r w:rsidR="00EE2DAD" w:rsidRPr="00477CFC">
        <w:rPr>
          <w:rFonts w:ascii="Arial" w:hAnsi="Arial" w:cs="Arial"/>
          <w:b/>
        </w:rPr>
        <w:t>:</w:t>
      </w:r>
      <w:r w:rsidRPr="00477CFC">
        <w:rPr>
          <w:rFonts w:ascii="Arial" w:hAnsi="Arial" w:cs="Arial"/>
          <w:b/>
        </w:rPr>
        <w:t xml:space="preserve"> </w:t>
      </w:r>
      <w:r w:rsidRPr="00477CFC">
        <w:rPr>
          <w:rFonts w:ascii="Arial" w:hAnsi="Arial" w:cs="Arial"/>
        </w:rPr>
        <w:t>Beginning in 2002 and continuing until the end of 2006, taxpayers who make contributions to personal retirement saving plans—401(k), 403(b), 457(b), traditional or Roth IRAs, and other plans—may receive a tax credit of up to 50 percent on the first $2,000 contributed.  Eligibility for the deduction is determined by income.  For joint tax filers, the deduction is 50 percent for those with incomes less than $30,000 and is phased out at $50,000.  For single tax filers the deduction is 50 percent for those with incomes less than $15,000 and is phased out at $25,000.</w:t>
      </w:r>
    </w:p>
    <w:p w:rsidR="002C0006" w:rsidRPr="00AE6D70" w:rsidRDefault="002C0006" w:rsidP="00AE6D70">
      <w:pPr>
        <w:ind w:firstLine="720"/>
        <w:rPr>
          <w:rFonts w:ascii="Arial" w:hAnsi="Arial" w:cs="Arial"/>
        </w:rPr>
      </w:pPr>
    </w:p>
    <w:p w:rsidR="005B24DA" w:rsidRDefault="00F24656" w:rsidP="00AE6D70">
      <w:pPr>
        <w:rPr>
          <w:rFonts w:ascii="Arial" w:hAnsi="Arial" w:cs="Arial"/>
        </w:rPr>
      </w:pPr>
      <w:r w:rsidRPr="00AE6D70">
        <w:rPr>
          <w:rFonts w:ascii="Arial" w:hAnsi="Arial" w:cs="Arial"/>
          <w:spacing w:val="-2"/>
        </w:rPr>
        <w:tab/>
      </w:r>
      <w:r w:rsidR="00AB470A" w:rsidRPr="00AE6D70">
        <w:rPr>
          <w:rFonts w:ascii="Arial" w:hAnsi="Arial" w:cs="Arial"/>
        </w:rPr>
        <w:t xml:space="preserve"> </w:t>
      </w:r>
    </w:p>
    <w:p w:rsidR="00362B7D" w:rsidRDefault="00362B7D" w:rsidP="00AE6D70">
      <w:pPr>
        <w:rPr>
          <w:rFonts w:ascii="Arial" w:hAnsi="Arial" w:cs="Arial"/>
        </w:rPr>
      </w:pPr>
    </w:p>
    <w:p w:rsidR="00AB470A" w:rsidRPr="001E1E0E" w:rsidRDefault="00AB470A" w:rsidP="00AE6D70">
      <w:pPr>
        <w:rPr>
          <w:rFonts w:ascii="Arial" w:hAnsi="Arial" w:cs="Arial"/>
        </w:rPr>
      </w:pPr>
    </w:p>
    <w:p w:rsidR="00AB470A" w:rsidRPr="00AE6D70" w:rsidRDefault="00AB470A" w:rsidP="00AE6D70">
      <w:pPr>
        <w:rPr>
          <w:rFonts w:ascii="Arial" w:hAnsi="Arial" w:cs="Arial"/>
          <w:spacing w:val="-2"/>
        </w:rPr>
      </w:pPr>
    </w:p>
    <w:sectPr w:rsidR="00AB470A" w:rsidRPr="00AE6D70" w:rsidSect="008E4AB5">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37" w:rsidRDefault="00716137">
      <w:r>
        <w:separator/>
      </w:r>
    </w:p>
  </w:endnote>
  <w:endnote w:type="continuationSeparator" w:id="0">
    <w:p w:rsidR="00716137" w:rsidRDefault="0071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20" w:rsidRDefault="00723E20" w:rsidP="008E4A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3E20" w:rsidRDefault="00723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1E" w:rsidRDefault="009E7A1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F2C36">
      <w:rPr>
        <w:b/>
        <w:noProof/>
      </w:rPr>
      <w:t>30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F2C36">
      <w:rPr>
        <w:b/>
        <w:noProof/>
      </w:rPr>
      <w:t>31</w:t>
    </w:r>
    <w:r>
      <w:rPr>
        <w:b/>
        <w:sz w:val="24"/>
        <w:szCs w:val="24"/>
      </w:rPr>
      <w:fldChar w:fldCharType="end"/>
    </w:r>
  </w:p>
  <w:p w:rsidR="00723E20" w:rsidRDefault="00723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37" w:rsidRDefault="00716137">
      <w:r>
        <w:separator/>
      </w:r>
    </w:p>
  </w:footnote>
  <w:footnote w:type="continuationSeparator" w:id="0">
    <w:p w:rsidR="00716137" w:rsidRDefault="00716137">
      <w:r>
        <w:continuationSeparator/>
      </w:r>
    </w:p>
  </w:footnote>
  <w:footnote w:id="1">
    <w:p w:rsidR="00FD6E48" w:rsidRPr="00505A85" w:rsidRDefault="00FD6E48" w:rsidP="00FD6E48">
      <w:pPr>
        <w:pStyle w:val="FootnoteText"/>
        <w:rPr>
          <w:rFonts w:ascii="Arial" w:hAnsi="Arial" w:cs="Arial"/>
        </w:rPr>
      </w:pPr>
      <w:r w:rsidRPr="00505A85">
        <w:rPr>
          <w:rStyle w:val="FootnoteReference"/>
          <w:rFonts w:ascii="Arial" w:hAnsi="Arial" w:cs="Arial"/>
        </w:rPr>
        <w:footnoteRef/>
      </w:r>
      <w:r w:rsidRPr="00505A85">
        <w:rPr>
          <w:rFonts w:ascii="Arial" w:hAnsi="Arial" w:cs="Arial"/>
        </w:rPr>
        <w:t xml:space="preserve"> Data on 401(k) eligibility are not available for persons under the age of 25 in the SIPP.  The C11 cohort in Figure 1c is observed twice, once at age 25 in 1998 and again at age 30 in 2003.  Cohorts younger than the C11 cohort were younger than age 25 in 1998 and are thus observed only once (in 2003).  These cohorts are not shown in the figure.</w:t>
      </w:r>
    </w:p>
  </w:footnote>
  <w:footnote w:id="2">
    <w:p w:rsidR="00CE202E" w:rsidRPr="00505A85" w:rsidRDefault="00CE202E">
      <w:pPr>
        <w:pStyle w:val="FootnoteText"/>
        <w:rPr>
          <w:rFonts w:ascii="Arial" w:hAnsi="Arial" w:cs="Arial"/>
        </w:rPr>
      </w:pPr>
      <w:r w:rsidRPr="00505A85">
        <w:rPr>
          <w:rStyle w:val="FootnoteReference"/>
          <w:rFonts w:ascii="Arial" w:hAnsi="Arial" w:cs="Arial"/>
        </w:rPr>
        <w:footnoteRef/>
      </w:r>
      <w:r w:rsidRPr="00505A85">
        <w:rPr>
          <w:rFonts w:ascii="Arial" w:hAnsi="Arial" w:cs="Arial"/>
        </w:rPr>
        <w:t xml:space="preserve"> More recent</w:t>
      </w:r>
      <w:r w:rsidR="004A3246" w:rsidRPr="00505A85">
        <w:rPr>
          <w:rFonts w:ascii="Arial" w:hAnsi="Arial" w:cs="Arial"/>
        </w:rPr>
        <w:t xml:space="preserve"> </w:t>
      </w:r>
      <w:r w:rsidR="00596EF8">
        <w:rPr>
          <w:rFonts w:ascii="Arial" w:hAnsi="Arial" w:cs="Arial"/>
        </w:rPr>
        <w:t xml:space="preserve">data </w:t>
      </w:r>
      <w:r w:rsidR="004A3246" w:rsidRPr="00505A85">
        <w:rPr>
          <w:rFonts w:ascii="Arial" w:hAnsi="Arial" w:cs="Arial"/>
        </w:rPr>
        <w:t>from</w:t>
      </w:r>
      <w:r w:rsidRPr="00505A85">
        <w:rPr>
          <w:rFonts w:ascii="Arial" w:hAnsi="Arial" w:cs="Arial"/>
        </w:rPr>
        <w:t xml:space="preserve"> Form 5500 </w:t>
      </w:r>
      <w:r w:rsidR="00DC175E">
        <w:rPr>
          <w:rFonts w:ascii="Arial" w:hAnsi="Arial" w:cs="Arial"/>
        </w:rPr>
        <w:t>filings</w:t>
      </w:r>
      <w:r w:rsidR="004A3246" w:rsidRPr="00505A85">
        <w:rPr>
          <w:rFonts w:ascii="Arial" w:hAnsi="Arial" w:cs="Arial"/>
        </w:rPr>
        <w:t xml:space="preserve"> </w:t>
      </w:r>
      <w:r w:rsidRPr="00505A85">
        <w:rPr>
          <w:rFonts w:ascii="Arial" w:hAnsi="Arial" w:cs="Arial"/>
        </w:rPr>
        <w:t>are not available.</w:t>
      </w:r>
    </w:p>
  </w:footnote>
  <w:footnote w:id="3">
    <w:p w:rsidR="00C53389" w:rsidRPr="00C53389" w:rsidRDefault="00C53389">
      <w:pPr>
        <w:pStyle w:val="FootnoteText"/>
        <w:rPr>
          <w:rFonts w:ascii="Arial" w:hAnsi="Arial" w:cs="Arial"/>
          <w:sz w:val="24"/>
          <w:szCs w:val="24"/>
        </w:rPr>
      </w:pPr>
      <w:r w:rsidRPr="00C53389">
        <w:rPr>
          <w:rStyle w:val="FootnoteReference"/>
          <w:rFonts w:ascii="Arial" w:hAnsi="Arial" w:cs="Arial"/>
          <w:sz w:val="24"/>
          <w:szCs w:val="24"/>
        </w:rPr>
        <w:footnoteRef/>
      </w:r>
      <w:r w:rsidRPr="00C53389">
        <w:rPr>
          <w:rFonts w:ascii="Arial" w:hAnsi="Arial" w:cs="Arial"/>
          <w:sz w:val="24"/>
          <w:szCs w:val="24"/>
        </w:rPr>
        <w:t xml:space="preserve"> The estimate of 15.1 percent is approximately 5 percent lower than estimates reported by Stewart [2002], based on Current Population Survey data.</w:t>
      </w:r>
      <w:r w:rsidRPr="00C53389">
        <w:rPr>
          <w:rFonts w:ascii="Arial" w:hAnsi="Arial" w:cs="Arial"/>
          <w:color w:val="FF0000"/>
          <w:sz w:val="24"/>
          <w:szCs w:val="24"/>
        </w:rPr>
        <w:t xml:space="preserve"> </w:t>
      </w:r>
      <w:r w:rsidRPr="00C53389">
        <w:rPr>
          <w:rFonts w:ascii="Arial" w:hAnsi="Arial" w:cs="Arial"/>
          <w:sz w:val="24"/>
          <w:szCs w:val="24"/>
        </w:rPr>
        <w:t xml:space="preserve"> </w:t>
      </w:r>
    </w:p>
  </w:footnote>
  <w:footnote w:id="4">
    <w:p w:rsidR="004150E8" w:rsidRPr="00505A85" w:rsidRDefault="004150E8" w:rsidP="004150E8">
      <w:pPr>
        <w:pStyle w:val="FootnoteText"/>
        <w:rPr>
          <w:rFonts w:ascii="Arial" w:hAnsi="Arial" w:cs="Arial"/>
        </w:rPr>
      </w:pPr>
      <w:r w:rsidRPr="00C53389">
        <w:rPr>
          <w:rStyle w:val="FootnoteReference"/>
          <w:rFonts w:ascii="Arial" w:hAnsi="Arial" w:cs="Arial"/>
          <w:sz w:val="24"/>
          <w:szCs w:val="24"/>
        </w:rPr>
        <w:footnoteRef/>
      </w:r>
      <w:r w:rsidRPr="00C53389">
        <w:rPr>
          <w:rFonts w:ascii="Arial" w:hAnsi="Arial" w:cs="Arial"/>
          <w:sz w:val="24"/>
          <w:szCs w:val="24"/>
        </w:rPr>
        <w:t xml:space="preserve"> We used a two-limit tobit specification (with a separate equation for each year) to impute SS earnings for persons censored at the upper Social Security earnings limit.</w:t>
      </w:r>
    </w:p>
  </w:footnote>
  <w:footnote w:id="5">
    <w:p w:rsidR="003D5F85" w:rsidRPr="003B42E9" w:rsidRDefault="003D5F85" w:rsidP="003D5F85">
      <w:pPr>
        <w:pStyle w:val="FootnoteText"/>
        <w:rPr>
          <w:rFonts w:ascii="Arial" w:hAnsi="Arial" w:cs="Arial"/>
          <w:sz w:val="24"/>
          <w:szCs w:val="24"/>
        </w:rPr>
      </w:pPr>
      <w:r w:rsidRPr="003B42E9">
        <w:rPr>
          <w:rStyle w:val="FootnoteReference"/>
          <w:rFonts w:ascii="Arial" w:hAnsi="Arial" w:cs="Arial"/>
          <w:sz w:val="24"/>
          <w:szCs w:val="24"/>
        </w:rPr>
        <w:footnoteRef/>
      </w:r>
      <w:r w:rsidR="00EE5E53" w:rsidRPr="003B42E9">
        <w:rPr>
          <w:rFonts w:ascii="Arial" w:hAnsi="Arial" w:cs="Arial"/>
          <w:sz w:val="24"/>
          <w:szCs w:val="24"/>
        </w:rPr>
        <w:t xml:space="preserve"> See Figure 5 </w:t>
      </w:r>
      <w:r w:rsidR="003B42E9">
        <w:rPr>
          <w:rFonts w:ascii="Arial" w:hAnsi="Arial" w:cs="Arial"/>
          <w:sz w:val="24"/>
          <w:szCs w:val="24"/>
        </w:rPr>
        <w:t>in</w:t>
      </w:r>
      <w:r w:rsidR="00EE5E53" w:rsidRPr="003B42E9">
        <w:rPr>
          <w:rFonts w:ascii="Arial" w:hAnsi="Arial" w:cs="Arial"/>
          <w:sz w:val="24"/>
          <w:szCs w:val="24"/>
        </w:rPr>
        <w:t xml:space="preserve"> Holden et. al.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20" w:rsidRDefault="00723E20">
    <w:pPr>
      <w:pStyle w:val="Header"/>
      <w:tabs>
        <w:tab w:val="clear" w:pos="8640"/>
        <w:tab w:val="right" w:pos="9270"/>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0643"/>
    <w:multiLevelType w:val="hybridMultilevel"/>
    <w:tmpl w:val="AC524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D02A2"/>
    <w:multiLevelType w:val="hybridMultilevel"/>
    <w:tmpl w:val="8724E1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F79C3"/>
    <w:multiLevelType w:val="hybridMultilevel"/>
    <w:tmpl w:val="74D8EBBE"/>
    <w:lvl w:ilvl="0" w:tplc="753024E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CB666A"/>
    <w:multiLevelType w:val="hybridMultilevel"/>
    <w:tmpl w:val="55F0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E76CC"/>
    <w:multiLevelType w:val="hybridMultilevel"/>
    <w:tmpl w:val="C8B4235E"/>
    <w:lvl w:ilvl="0" w:tplc="021AF73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1D3B52"/>
    <w:multiLevelType w:val="hybridMultilevel"/>
    <w:tmpl w:val="319CB092"/>
    <w:lvl w:ilvl="0" w:tplc="37948C9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DF5"/>
    <w:rsid w:val="0000208D"/>
    <w:rsid w:val="00007FD1"/>
    <w:rsid w:val="000105FA"/>
    <w:rsid w:val="000157F5"/>
    <w:rsid w:val="00015C75"/>
    <w:rsid w:val="0001710D"/>
    <w:rsid w:val="00021AD8"/>
    <w:rsid w:val="0002461D"/>
    <w:rsid w:val="00026B14"/>
    <w:rsid w:val="00030EA5"/>
    <w:rsid w:val="000311CE"/>
    <w:rsid w:val="00034292"/>
    <w:rsid w:val="00036FAC"/>
    <w:rsid w:val="00045D42"/>
    <w:rsid w:val="00047F36"/>
    <w:rsid w:val="0005119E"/>
    <w:rsid w:val="000530FF"/>
    <w:rsid w:val="0005384F"/>
    <w:rsid w:val="000560C3"/>
    <w:rsid w:val="00060B85"/>
    <w:rsid w:val="000618D4"/>
    <w:rsid w:val="00062DE0"/>
    <w:rsid w:val="000631E4"/>
    <w:rsid w:val="00071E58"/>
    <w:rsid w:val="000756E1"/>
    <w:rsid w:val="000801D8"/>
    <w:rsid w:val="00083361"/>
    <w:rsid w:val="00086099"/>
    <w:rsid w:val="00090C91"/>
    <w:rsid w:val="00095AB0"/>
    <w:rsid w:val="00095DF0"/>
    <w:rsid w:val="00096EF4"/>
    <w:rsid w:val="00097A67"/>
    <w:rsid w:val="000A02C7"/>
    <w:rsid w:val="000A1395"/>
    <w:rsid w:val="000A62C5"/>
    <w:rsid w:val="000B2347"/>
    <w:rsid w:val="000B5A1A"/>
    <w:rsid w:val="000C0B86"/>
    <w:rsid w:val="000C0E00"/>
    <w:rsid w:val="000C3984"/>
    <w:rsid w:val="000C61AB"/>
    <w:rsid w:val="000C7305"/>
    <w:rsid w:val="000D2CE5"/>
    <w:rsid w:val="000D3724"/>
    <w:rsid w:val="000D68E3"/>
    <w:rsid w:val="000D7F0B"/>
    <w:rsid w:val="000E1A85"/>
    <w:rsid w:val="000E60ED"/>
    <w:rsid w:val="000F15C7"/>
    <w:rsid w:val="000F2162"/>
    <w:rsid w:val="0010036E"/>
    <w:rsid w:val="001006E6"/>
    <w:rsid w:val="00102445"/>
    <w:rsid w:val="00106B63"/>
    <w:rsid w:val="00106C38"/>
    <w:rsid w:val="001071A0"/>
    <w:rsid w:val="00107CE9"/>
    <w:rsid w:val="001119A6"/>
    <w:rsid w:val="001122E7"/>
    <w:rsid w:val="001123E0"/>
    <w:rsid w:val="00113ACF"/>
    <w:rsid w:val="001239EB"/>
    <w:rsid w:val="001300F9"/>
    <w:rsid w:val="00134A37"/>
    <w:rsid w:val="00136BE5"/>
    <w:rsid w:val="00137189"/>
    <w:rsid w:val="00141D1E"/>
    <w:rsid w:val="00144C21"/>
    <w:rsid w:val="0014614F"/>
    <w:rsid w:val="00146821"/>
    <w:rsid w:val="001515C3"/>
    <w:rsid w:val="00160291"/>
    <w:rsid w:val="00162668"/>
    <w:rsid w:val="00163D88"/>
    <w:rsid w:val="00164FF8"/>
    <w:rsid w:val="001667B3"/>
    <w:rsid w:val="001672BB"/>
    <w:rsid w:val="00176577"/>
    <w:rsid w:val="00181A85"/>
    <w:rsid w:val="001865E9"/>
    <w:rsid w:val="00186825"/>
    <w:rsid w:val="00190CF0"/>
    <w:rsid w:val="00197EE7"/>
    <w:rsid w:val="001A0255"/>
    <w:rsid w:val="001A657A"/>
    <w:rsid w:val="001B42EE"/>
    <w:rsid w:val="001B4EAE"/>
    <w:rsid w:val="001C14E8"/>
    <w:rsid w:val="001C3939"/>
    <w:rsid w:val="001C505A"/>
    <w:rsid w:val="001D1FC6"/>
    <w:rsid w:val="001D5CD6"/>
    <w:rsid w:val="001E1E0E"/>
    <w:rsid w:val="001E2126"/>
    <w:rsid w:val="001F0A40"/>
    <w:rsid w:val="001F4901"/>
    <w:rsid w:val="00203DBC"/>
    <w:rsid w:val="00205006"/>
    <w:rsid w:val="002058E7"/>
    <w:rsid w:val="002079ED"/>
    <w:rsid w:val="002108A7"/>
    <w:rsid w:val="00210C10"/>
    <w:rsid w:val="00214E01"/>
    <w:rsid w:val="00215127"/>
    <w:rsid w:val="00216A30"/>
    <w:rsid w:val="0022031B"/>
    <w:rsid w:val="002213BF"/>
    <w:rsid w:val="002220DB"/>
    <w:rsid w:val="0022298D"/>
    <w:rsid w:val="002263DC"/>
    <w:rsid w:val="00226953"/>
    <w:rsid w:val="00232D7B"/>
    <w:rsid w:val="00236567"/>
    <w:rsid w:val="002425E2"/>
    <w:rsid w:val="00252A54"/>
    <w:rsid w:val="002561C7"/>
    <w:rsid w:val="00262C66"/>
    <w:rsid w:val="00263B96"/>
    <w:rsid w:val="00264E0C"/>
    <w:rsid w:val="002652FF"/>
    <w:rsid w:val="00270966"/>
    <w:rsid w:val="00273187"/>
    <w:rsid w:val="00275EFB"/>
    <w:rsid w:val="00290DCC"/>
    <w:rsid w:val="002917CA"/>
    <w:rsid w:val="00291B39"/>
    <w:rsid w:val="00294C80"/>
    <w:rsid w:val="00296036"/>
    <w:rsid w:val="002977B4"/>
    <w:rsid w:val="00297C79"/>
    <w:rsid w:val="002A2056"/>
    <w:rsid w:val="002A5F0B"/>
    <w:rsid w:val="002A62B6"/>
    <w:rsid w:val="002A6CC9"/>
    <w:rsid w:val="002B01E1"/>
    <w:rsid w:val="002B1A1D"/>
    <w:rsid w:val="002B300C"/>
    <w:rsid w:val="002B3E5D"/>
    <w:rsid w:val="002B545E"/>
    <w:rsid w:val="002B5B34"/>
    <w:rsid w:val="002C0006"/>
    <w:rsid w:val="002C4D75"/>
    <w:rsid w:val="002C6055"/>
    <w:rsid w:val="002C7446"/>
    <w:rsid w:val="002D2856"/>
    <w:rsid w:val="002E23F1"/>
    <w:rsid w:val="002E3AD0"/>
    <w:rsid w:val="002F04EC"/>
    <w:rsid w:val="002F24C5"/>
    <w:rsid w:val="003039C4"/>
    <w:rsid w:val="00304F32"/>
    <w:rsid w:val="00313733"/>
    <w:rsid w:val="003233C0"/>
    <w:rsid w:val="00324DAC"/>
    <w:rsid w:val="00342E6B"/>
    <w:rsid w:val="00344A24"/>
    <w:rsid w:val="00344FB5"/>
    <w:rsid w:val="00351A2B"/>
    <w:rsid w:val="003553A7"/>
    <w:rsid w:val="00357F08"/>
    <w:rsid w:val="003629BD"/>
    <w:rsid w:val="00362B7D"/>
    <w:rsid w:val="0036515E"/>
    <w:rsid w:val="003655E0"/>
    <w:rsid w:val="00367EEE"/>
    <w:rsid w:val="0037034E"/>
    <w:rsid w:val="00374631"/>
    <w:rsid w:val="003746E8"/>
    <w:rsid w:val="0038189F"/>
    <w:rsid w:val="00381965"/>
    <w:rsid w:val="00385CA6"/>
    <w:rsid w:val="00386081"/>
    <w:rsid w:val="00391E8A"/>
    <w:rsid w:val="003921CA"/>
    <w:rsid w:val="00392C99"/>
    <w:rsid w:val="003965BE"/>
    <w:rsid w:val="0039696F"/>
    <w:rsid w:val="00397934"/>
    <w:rsid w:val="003979BC"/>
    <w:rsid w:val="003A120C"/>
    <w:rsid w:val="003A316C"/>
    <w:rsid w:val="003A3794"/>
    <w:rsid w:val="003A50A3"/>
    <w:rsid w:val="003A597F"/>
    <w:rsid w:val="003B42E9"/>
    <w:rsid w:val="003B6669"/>
    <w:rsid w:val="003C2FC4"/>
    <w:rsid w:val="003C7BA4"/>
    <w:rsid w:val="003D197A"/>
    <w:rsid w:val="003D3A8B"/>
    <w:rsid w:val="003D5F85"/>
    <w:rsid w:val="003D7999"/>
    <w:rsid w:val="003E0A5A"/>
    <w:rsid w:val="003E1FDF"/>
    <w:rsid w:val="003F050D"/>
    <w:rsid w:val="003F20A4"/>
    <w:rsid w:val="003F6A0B"/>
    <w:rsid w:val="004112B4"/>
    <w:rsid w:val="00413FF3"/>
    <w:rsid w:val="00414B2C"/>
    <w:rsid w:val="004150E8"/>
    <w:rsid w:val="004168CB"/>
    <w:rsid w:val="00422179"/>
    <w:rsid w:val="00424947"/>
    <w:rsid w:val="00431D52"/>
    <w:rsid w:val="00434F4F"/>
    <w:rsid w:val="00435B00"/>
    <w:rsid w:val="004363C3"/>
    <w:rsid w:val="00441E0E"/>
    <w:rsid w:val="004458BC"/>
    <w:rsid w:val="00446C98"/>
    <w:rsid w:val="00450382"/>
    <w:rsid w:val="0045079E"/>
    <w:rsid w:val="004524F4"/>
    <w:rsid w:val="00453645"/>
    <w:rsid w:val="00454F68"/>
    <w:rsid w:val="00455F8F"/>
    <w:rsid w:val="00456626"/>
    <w:rsid w:val="004619E6"/>
    <w:rsid w:val="00461A77"/>
    <w:rsid w:val="004633B5"/>
    <w:rsid w:val="004649DC"/>
    <w:rsid w:val="004654C7"/>
    <w:rsid w:val="00465873"/>
    <w:rsid w:val="00467CE5"/>
    <w:rsid w:val="004709E2"/>
    <w:rsid w:val="00472F45"/>
    <w:rsid w:val="004732D7"/>
    <w:rsid w:val="0047368F"/>
    <w:rsid w:val="00474544"/>
    <w:rsid w:val="004765AB"/>
    <w:rsid w:val="00476A0B"/>
    <w:rsid w:val="00477CFC"/>
    <w:rsid w:val="004836EF"/>
    <w:rsid w:val="004847FD"/>
    <w:rsid w:val="00491D2C"/>
    <w:rsid w:val="00493143"/>
    <w:rsid w:val="00495793"/>
    <w:rsid w:val="004A3246"/>
    <w:rsid w:val="004A3A5B"/>
    <w:rsid w:val="004A437A"/>
    <w:rsid w:val="004A5AE7"/>
    <w:rsid w:val="004A6584"/>
    <w:rsid w:val="004A7139"/>
    <w:rsid w:val="004A79DF"/>
    <w:rsid w:val="004B0480"/>
    <w:rsid w:val="004B2234"/>
    <w:rsid w:val="004B3D3B"/>
    <w:rsid w:val="004C6105"/>
    <w:rsid w:val="004D1B25"/>
    <w:rsid w:val="004E003F"/>
    <w:rsid w:val="004E2EE2"/>
    <w:rsid w:val="004F10C5"/>
    <w:rsid w:val="004F48FD"/>
    <w:rsid w:val="004F5389"/>
    <w:rsid w:val="004F62ED"/>
    <w:rsid w:val="00505A85"/>
    <w:rsid w:val="00507FF8"/>
    <w:rsid w:val="00514232"/>
    <w:rsid w:val="005145AB"/>
    <w:rsid w:val="0051777B"/>
    <w:rsid w:val="00521366"/>
    <w:rsid w:val="00532AE6"/>
    <w:rsid w:val="00541CEE"/>
    <w:rsid w:val="00543C0F"/>
    <w:rsid w:val="00544E43"/>
    <w:rsid w:val="00552F9D"/>
    <w:rsid w:val="00553B95"/>
    <w:rsid w:val="005546E4"/>
    <w:rsid w:val="00557085"/>
    <w:rsid w:val="00563D7E"/>
    <w:rsid w:val="00567A64"/>
    <w:rsid w:val="00571335"/>
    <w:rsid w:val="0057243F"/>
    <w:rsid w:val="005725F5"/>
    <w:rsid w:val="00574EB1"/>
    <w:rsid w:val="005867B8"/>
    <w:rsid w:val="0059065C"/>
    <w:rsid w:val="00595E7B"/>
    <w:rsid w:val="00596D75"/>
    <w:rsid w:val="00596EF8"/>
    <w:rsid w:val="005A16F3"/>
    <w:rsid w:val="005A3914"/>
    <w:rsid w:val="005A49AA"/>
    <w:rsid w:val="005B1519"/>
    <w:rsid w:val="005B24DA"/>
    <w:rsid w:val="005B29BA"/>
    <w:rsid w:val="005B5260"/>
    <w:rsid w:val="005B686F"/>
    <w:rsid w:val="005C059E"/>
    <w:rsid w:val="005C66B9"/>
    <w:rsid w:val="005D275D"/>
    <w:rsid w:val="005D4435"/>
    <w:rsid w:val="005E06A5"/>
    <w:rsid w:val="005E38B7"/>
    <w:rsid w:val="005E3B85"/>
    <w:rsid w:val="005E7D17"/>
    <w:rsid w:val="005F473A"/>
    <w:rsid w:val="005F7FCC"/>
    <w:rsid w:val="00600D41"/>
    <w:rsid w:val="006025EF"/>
    <w:rsid w:val="00603C74"/>
    <w:rsid w:val="00603DC6"/>
    <w:rsid w:val="00605123"/>
    <w:rsid w:val="0060614B"/>
    <w:rsid w:val="006107CC"/>
    <w:rsid w:val="00612738"/>
    <w:rsid w:val="0062421B"/>
    <w:rsid w:val="0063042A"/>
    <w:rsid w:val="006361B1"/>
    <w:rsid w:val="006361C7"/>
    <w:rsid w:val="0064060C"/>
    <w:rsid w:val="00646286"/>
    <w:rsid w:val="00652B8C"/>
    <w:rsid w:val="00653252"/>
    <w:rsid w:val="00654797"/>
    <w:rsid w:val="00657B9E"/>
    <w:rsid w:val="00660CAC"/>
    <w:rsid w:val="00667985"/>
    <w:rsid w:val="00687418"/>
    <w:rsid w:val="00690CE9"/>
    <w:rsid w:val="00696463"/>
    <w:rsid w:val="00697E6A"/>
    <w:rsid w:val="006A683E"/>
    <w:rsid w:val="006A6C82"/>
    <w:rsid w:val="006A7582"/>
    <w:rsid w:val="006A7C2C"/>
    <w:rsid w:val="006B0586"/>
    <w:rsid w:val="006B09D0"/>
    <w:rsid w:val="006B5DED"/>
    <w:rsid w:val="006B70E2"/>
    <w:rsid w:val="006C01C3"/>
    <w:rsid w:val="006C1F32"/>
    <w:rsid w:val="006D2236"/>
    <w:rsid w:val="006E06A7"/>
    <w:rsid w:val="006E46A6"/>
    <w:rsid w:val="006F429E"/>
    <w:rsid w:val="006F46AB"/>
    <w:rsid w:val="00702419"/>
    <w:rsid w:val="007038E0"/>
    <w:rsid w:val="00704CC8"/>
    <w:rsid w:val="00716137"/>
    <w:rsid w:val="00723E20"/>
    <w:rsid w:val="00724B35"/>
    <w:rsid w:val="007316CD"/>
    <w:rsid w:val="007326AA"/>
    <w:rsid w:val="0073570C"/>
    <w:rsid w:val="007360AE"/>
    <w:rsid w:val="0074235A"/>
    <w:rsid w:val="00743CD5"/>
    <w:rsid w:val="007442E0"/>
    <w:rsid w:val="00753BD4"/>
    <w:rsid w:val="00754E8D"/>
    <w:rsid w:val="00772843"/>
    <w:rsid w:val="007731DA"/>
    <w:rsid w:val="00776159"/>
    <w:rsid w:val="00776199"/>
    <w:rsid w:val="00780339"/>
    <w:rsid w:val="00782F4D"/>
    <w:rsid w:val="00783ECC"/>
    <w:rsid w:val="00787DC5"/>
    <w:rsid w:val="007910CB"/>
    <w:rsid w:val="00791CD7"/>
    <w:rsid w:val="00794200"/>
    <w:rsid w:val="00795CA9"/>
    <w:rsid w:val="007A0FDC"/>
    <w:rsid w:val="007A3A7F"/>
    <w:rsid w:val="007A69EE"/>
    <w:rsid w:val="007A73FB"/>
    <w:rsid w:val="007A7A76"/>
    <w:rsid w:val="007B07E5"/>
    <w:rsid w:val="007C7512"/>
    <w:rsid w:val="007C7592"/>
    <w:rsid w:val="007D04A1"/>
    <w:rsid w:val="007D2C1E"/>
    <w:rsid w:val="007D4465"/>
    <w:rsid w:val="007D53E3"/>
    <w:rsid w:val="007D756E"/>
    <w:rsid w:val="007E0765"/>
    <w:rsid w:val="007E74D5"/>
    <w:rsid w:val="007F2B6C"/>
    <w:rsid w:val="007F42EC"/>
    <w:rsid w:val="007F547A"/>
    <w:rsid w:val="007F6195"/>
    <w:rsid w:val="007F7755"/>
    <w:rsid w:val="00815FB8"/>
    <w:rsid w:val="00823486"/>
    <w:rsid w:val="0082428D"/>
    <w:rsid w:val="00827580"/>
    <w:rsid w:val="00837757"/>
    <w:rsid w:val="00843BBC"/>
    <w:rsid w:val="0084428C"/>
    <w:rsid w:val="00846D9C"/>
    <w:rsid w:val="008501DD"/>
    <w:rsid w:val="0085234C"/>
    <w:rsid w:val="00852F41"/>
    <w:rsid w:val="00855767"/>
    <w:rsid w:val="0087150C"/>
    <w:rsid w:val="00875946"/>
    <w:rsid w:val="00887BB6"/>
    <w:rsid w:val="008A085C"/>
    <w:rsid w:val="008A51FD"/>
    <w:rsid w:val="008B095E"/>
    <w:rsid w:val="008B14B9"/>
    <w:rsid w:val="008B2047"/>
    <w:rsid w:val="008B2872"/>
    <w:rsid w:val="008B2C3D"/>
    <w:rsid w:val="008C10FC"/>
    <w:rsid w:val="008C31DB"/>
    <w:rsid w:val="008C541F"/>
    <w:rsid w:val="008C612E"/>
    <w:rsid w:val="008D3895"/>
    <w:rsid w:val="008E1F1F"/>
    <w:rsid w:val="008E4AB5"/>
    <w:rsid w:val="008E76BF"/>
    <w:rsid w:val="008F07CE"/>
    <w:rsid w:val="008F4C04"/>
    <w:rsid w:val="008F551A"/>
    <w:rsid w:val="008F5592"/>
    <w:rsid w:val="00900147"/>
    <w:rsid w:val="00901585"/>
    <w:rsid w:val="00903082"/>
    <w:rsid w:val="009105AA"/>
    <w:rsid w:val="0091269A"/>
    <w:rsid w:val="009132C4"/>
    <w:rsid w:val="00917950"/>
    <w:rsid w:val="00925D51"/>
    <w:rsid w:val="00925E21"/>
    <w:rsid w:val="009277DD"/>
    <w:rsid w:val="00932693"/>
    <w:rsid w:val="00932C8C"/>
    <w:rsid w:val="00935905"/>
    <w:rsid w:val="0093766D"/>
    <w:rsid w:val="0094134A"/>
    <w:rsid w:val="0094579E"/>
    <w:rsid w:val="00947394"/>
    <w:rsid w:val="0095046C"/>
    <w:rsid w:val="00952B97"/>
    <w:rsid w:val="00952CAA"/>
    <w:rsid w:val="009617EE"/>
    <w:rsid w:val="00965EC7"/>
    <w:rsid w:val="00967B34"/>
    <w:rsid w:val="00967CE3"/>
    <w:rsid w:val="0098017D"/>
    <w:rsid w:val="00980631"/>
    <w:rsid w:val="00981F2A"/>
    <w:rsid w:val="00983A6F"/>
    <w:rsid w:val="00985749"/>
    <w:rsid w:val="00986047"/>
    <w:rsid w:val="009863A4"/>
    <w:rsid w:val="00996DB8"/>
    <w:rsid w:val="009A52C1"/>
    <w:rsid w:val="009B0103"/>
    <w:rsid w:val="009B0E22"/>
    <w:rsid w:val="009B31D9"/>
    <w:rsid w:val="009B38DD"/>
    <w:rsid w:val="009B657A"/>
    <w:rsid w:val="009C12C6"/>
    <w:rsid w:val="009C13EC"/>
    <w:rsid w:val="009C30A0"/>
    <w:rsid w:val="009C445A"/>
    <w:rsid w:val="009C5D8F"/>
    <w:rsid w:val="009D1FBF"/>
    <w:rsid w:val="009D73FA"/>
    <w:rsid w:val="009E29AD"/>
    <w:rsid w:val="009E6380"/>
    <w:rsid w:val="009E7A1E"/>
    <w:rsid w:val="009F01FF"/>
    <w:rsid w:val="009F0B15"/>
    <w:rsid w:val="009F29CC"/>
    <w:rsid w:val="009F3690"/>
    <w:rsid w:val="009F6297"/>
    <w:rsid w:val="00A002B8"/>
    <w:rsid w:val="00A00888"/>
    <w:rsid w:val="00A07609"/>
    <w:rsid w:val="00A10664"/>
    <w:rsid w:val="00A11655"/>
    <w:rsid w:val="00A12EB0"/>
    <w:rsid w:val="00A13470"/>
    <w:rsid w:val="00A13B8D"/>
    <w:rsid w:val="00A215D0"/>
    <w:rsid w:val="00A22674"/>
    <w:rsid w:val="00A30B2E"/>
    <w:rsid w:val="00A3217D"/>
    <w:rsid w:val="00A33F83"/>
    <w:rsid w:val="00A418BF"/>
    <w:rsid w:val="00A4598B"/>
    <w:rsid w:val="00A471F0"/>
    <w:rsid w:val="00A57BFE"/>
    <w:rsid w:val="00A673FA"/>
    <w:rsid w:val="00A806EF"/>
    <w:rsid w:val="00A81197"/>
    <w:rsid w:val="00A81FDA"/>
    <w:rsid w:val="00AA130F"/>
    <w:rsid w:val="00AB470A"/>
    <w:rsid w:val="00AC546D"/>
    <w:rsid w:val="00AC6A32"/>
    <w:rsid w:val="00AC711E"/>
    <w:rsid w:val="00AD0C96"/>
    <w:rsid w:val="00AD1DAE"/>
    <w:rsid w:val="00AD50B5"/>
    <w:rsid w:val="00AE572F"/>
    <w:rsid w:val="00AE6076"/>
    <w:rsid w:val="00AE61B0"/>
    <w:rsid w:val="00AE6D70"/>
    <w:rsid w:val="00AE7D86"/>
    <w:rsid w:val="00AE7F0D"/>
    <w:rsid w:val="00AF04D7"/>
    <w:rsid w:val="00AF137B"/>
    <w:rsid w:val="00AF2C36"/>
    <w:rsid w:val="00AF5316"/>
    <w:rsid w:val="00B004C7"/>
    <w:rsid w:val="00B02446"/>
    <w:rsid w:val="00B04951"/>
    <w:rsid w:val="00B134E7"/>
    <w:rsid w:val="00B165C1"/>
    <w:rsid w:val="00B2060B"/>
    <w:rsid w:val="00B223DB"/>
    <w:rsid w:val="00B26D97"/>
    <w:rsid w:val="00B32446"/>
    <w:rsid w:val="00B32CF5"/>
    <w:rsid w:val="00B36A86"/>
    <w:rsid w:val="00B51822"/>
    <w:rsid w:val="00B61AE8"/>
    <w:rsid w:val="00B62706"/>
    <w:rsid w:val="00B62D7C"/>
    <w:rsid w:val="00B708C8"/>
    <w:rsid w:val="00B71488"/>
    <w:rsid w:val="00B76367"/>
    <w:rsid w:val="00B80F0C"/>
    <w:rsid w:val="00B83EEF"/>
    <w:rsid w:val="00B846CB"/>
    <w:rsid w:val="00B851E1"/>
    <w:rsid w:val="00B92825"/>
    <w:rsid w:val="00B960BF"/>
    <w:rsid w:val="00BA0999"/>
    <w:rsid w:val="00BA5EDD"/>
    <w:rsid w:val="00BA6444"/>
    <w:rsid w:val="00BA6D69"/>
    <w:rsid w:val="00BB3A7E"/>
    <w:rsid w:val="00BC471B"/>
    <w:rsid w:val="00BC4DF5"/>
    <w:rsid w:val="00BC6E1D"/>
    <w:rsid w:val="00BC7998"/>
    <w:rsid w:val="00BD06C5"/>
    <w:rsid w:val="00BE279A"/>
    <w:rsid w:val="00BE353A"/>
    <w:rsid w:val="00BE7125"/>
    <w:rsid w:val="00BF4DEA"/>
    <w:rsid w:val="00C01A1C"/>
    <w:rsid w:val="00C03876"/>
    <w:rsid w:val="00C043B3"/>
    <w:rsid w:val="00C06778"/>
    <w:rsid w:val="00C10F4F"/>
    <w:rsid w:val="00C1117E"/>
    <w:rsid w:val="00C13AB9"/>
    <w:rsid w:val="00C17578"/>
    <w:rsid w:val="00C22FC4"/>
    <w:rsid w:val="00C2470C"/>
    <w:rsid w:val="00C3152C"/>
    <w:rsid w:val="00C3610A"/>
    <w:rsid w:val="00C47849"/>
    <w:rsid w:val="00C53389"/>
    <w:rsid w:val="00C55095"/>
    <w:rsid w:val="00C5586D"/>
    <w:rsid w:val="00C56CB6"/>
    <w:rsid w:val="00C67CA1"/>
    <w:rsid w:val="00C8039E"/>
    <w:rsid w:val="00C85C5A"/>
    <w:rsid w:val="00C869CF"/>
    <w:rsid w:val="00C87FC8"/>
    <w:rsid w:val="00C92A63"/>
    <w:rsid w:val="00C93168"/>
    <w:rsid w:val="00CA2DCF"/>
    <w:rsid w:val="00CB1B4C"/>
    <w:rsid w:val="00CB21B4"/>
    <w:rsid w:val="00CB2E13"/>
    <w:rsid w:val="00CB3353"/>
    <w:rsid w:val="00CB4038"/>
    <w:rsid w:val="00CB7F66"/>
    <w:rsid w:val="00CC0E17"/>
    <w:rsid w:val="00CC1E1E"/>
    <w:rsid w:val="00CC7164"/>
    <w:rsid w:val="00CE202E"/>
    <w:rsid w:val="00CE40EC"/>
    <w:rsid w:val="00CF368C"/>
    <w:rsid w:val="00D12A11"/>
    <w:rsid w:val="00D12FB3"/>
    <w:rsid w:val="00D16F9C"/>
    <w:rsid w:val="00D22849"/>
    <w:rsid w:val="00D26383"/>
    <w:rsid w:val="00D31C0D"/>
    <w:rsid w:val="00D321D3"/>
    <w:rsid w:val="00D33729"/>
    <w:rsid w:val="00D440AE"/>
    <w:rsid w:val="00D459F1"/>
    <w:rsid w:val="00D4761D"/>
    <w:rsid w:val="00D4794F"/>
    <w:rsid w:val="00D5026E"/>
    <w:rsid w:val="00D50FD7"/>
    <w:rsid w:val="00D53F5E"/>
    <w:rsid w:val="00D60231"/>
    <w:rsid w:val="00D61C2D"/>
    <w:rsid w:val="00D66B7F"/>
    <w:rsid w:val="00D70FD2"/>
    <w:rsid w:val="00D730AF"/>
    <w:rsid w:val="00D75A5C"/>
    <w:rsid w:val="00D927C3"/>
    <w:rsid w:val="00DA0B46"/>
    <w:rsid w:val="00DA0C69"/>
    <w:rsid w:val="00DA10CB"/>
    <w:rsid w:val="00DA1905"/>
    <w:rsid w:val="00DA3668"/>
    <w:rsid w:val="00DA39E8"/>
    <w:rsid w:val="00DA3E63"/>
    <w:rsid w:val="00DA6299"/>
    <w:rsid w:val="00DB19BA"/>
    <w:rsid w:val="00DB2981"/>
    <w:rsid w:val="00DB4E2D"/>
    <w:rsid w:val="00DC0560"/>
    <w:rsid w:val="00DC175E"/>
    <w:rsid w:val="00DC236D"/>
    <w:rsid w:val="00DC2AA5"/>
    <w:rsid w:val="00DC5BB8"/>
    <w:rsid w:val="00DD1D08"/>
    <w:rsid w:val="00DD326A"/>
    <w:rsid w:val="00DD3CE7"/>
    <w:rsid w:val="00DE45F2"/>
    <w:rsid w:val="00DE4EA4"/>
    <w:rsid w:val="00DE68C7"/>
    <w:rsid w:val="00DE7ABE"/>
    <w:rsid w:val="00DF2A04"/>
    <w:rsid w:val="00DF5ACE"/>
    <w:rsid w:val="00E029BD"/>
    <w:rsid w:val="00E035DB"/>
    <w:rsid w:val="00E050B0"/>
    <w:rsid w:val="00E13E1C"/>
    <w:rsid w:val="00E13FAA"/>
    <w:rsid w:val="00E14709"/>
    <w:rsid w:val="00E21E4B"/>
    <w:rsid w:val="00E35E09"/>
    <w:rsid w:val="00E37542"/>
    <w:rsid w:val="00E41A91"/>
    <w:rsid w:val="00E456FA"/>
    <w:rsid w:val="00E539B7"/>
    <w:rsid w:val="00E54F2D"/>
    <w:rsid w:val="00E552AC"/>
    <w:rsid w:val="00E56702"/>
    <w:rsid w:val="00E57F4C"/>
    <w:rsid w:val="00E6209A"/>
    <w:rsid w:val="00E64C5D"/>
    <w:rsid w:val="00E6796D"/>
    <w:rsid w:val="00E72AD2"/>
    <w:rsid w:val="00E76878"/>
    <w:rsid w:val="00E771A9"/>
    <w:rsid w:val="00E812A2"/>
    <w:rsid w:val="00E813B8"/>
    <w:rsid w:val="00E83516"/>
    <w:rsid w:val="00E83CFF"/>
    <w:rsid w:val="00E86132"/>
    <w:rsid w:val="00EA135B"/>
    <w:rsid w:val="00EA4C4A"/>
    <w:rsid w:val="00EA5FA7"/>
    <w:rsid w:val="00EB5466"/>
    <w:rsid w:val="00EB5C39"/>
    <w:rsid w:val="00EC30B5"/>
    <w:rsid w:val="00EC5DAA"/>
    <w:rsid w:val="00EC6FE4"/>
    <w:rsid w:val="00ED0CF7"/>
    <w:rsid w:val="00ED1A6C"/>
    <w:rsid w:val="00ED36D5"/>
    <w:rsid w:val="00ED3E7E"/>
    <w:rsid w:val="00EE0494"/>
    <w:rsid w:val="00EE0FCF"/>
    <w:rsid w:val="00EE2DAD"/>
    <w:rsid w:val="00EE5E53"/>
    <w:rsid w:val="00EF0853"/>
    <w:rsid w:val="00EF1216"/>
    <w:rsid w:val="00EF717B"/>
    <w:rsid w:val="00F000FC"/>
    <w:rsid w:val="00F02CF7"/>
    <w:rsid w:val="00F02D3A"/>
    <w:rsid w:val="00F03927"/>
    <w:rsid w:val="00F06667"/>
    <w:rsid w:val="00F10DE7"/>
    <w:rsid w:val="00F132E9"/>
    <w:rsid w:val="00F1424C"/>
    <w:rsid w:val="00F16CE3"/>
    <w:rsid w:val="00F24615"/>
    <w:rsid w:val="00F24656"/>
    <w:rsid w:val="00F24CC6"/>
    <w:rsid w:val="00F27600"/>
    <w:rsid w:val="00F3122B"/>
    <w:rsid w:val="00F361CC"/>
    <w:rsid w:val="00F36812"/>
    <w:rsid w:val="00F40473"/>
    <w:rsid w:val="00F44281"/>
    <w:rsid w:val="00F47E92"/>
    <w:rsid w:val="00F54DB6"/>
    <w:rsid w:val="00F579E3"/>
    <w:rsid w:val="00F637CB"/>
    <w:rsid w:val="00F64DE1"/>
    <w:rsid w:val="00F7476C"/>
    <w:rsid w:val="00F76D81"/>
    <w:rsid w:val="00F82025"/>
    <w:rsid w:val="00FA2AC9"/>
    <w:rsid w:val="00FA2DED"/>
    <w:rsid w:val="00FA3D5B"/>
    <w:rsid w:val="00FA534E"/>
    <w:rsid w:val="00FB12E4"/>
    <w:rsid w:val="00FB635B"/>
    <w:rsid w:val="00FB70A0"/>
    <w:rsid w:val="00FB7457"/>
    <w:rsid w:val="00FC0100"/>
    <w:rsid w:val="00FC1C6D"/>
    <w:rsid w:val="00FC1F26"/>
    <w:rsid w:val="00FC3E78"/>
    <w:rsid w:val="00FC5E02"/>
    <w:rsid w:val="00FC65F0"/>
    <w:rsid w:val="00FC7651"/>
    <w:rsid w:val="00FC780C"/>
    <w:rsid w:val="00FC7C01"/>
    <w:rsid w:val="00FD3954"/>
    <w:rsid w:val="00FD5E23"/>
    <w:rsid w:val="00FD6E48"/>
    <w:rsid w:val="00FE1325"/>
    <w:rsid w:val="00FE7A0E"/>
    <w:rsid w:val="00FF324F"/>
    <w:rsid w:val="00FF3332"/>
    <w:rsid w:val="00FF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1865E9"/>
    <w:rPr>
      <w:sz w:val="20"/>
      <w:szCs w:val="20"/>
    </w:rPr>
  </w:style>
  <w:style w:type="character" w:styleId="FootnoteReference">
    <w:name w:val="footnote reference"/>
    <w:basedOn w:val="DefaultParagraphFont"/>
    <w:semiHidden/>
    <w:rsid w:val="001865E9"/>
    <w:rPr>
      <w:vertAlign w:val="superscript"/>
    </w:rPr>
  </w:style>
  <w:style w:type="paragraph" w:styleId="BodyTextIndent">
    <w:name w:val="Body Text Indent"/>
    <w:basedOn w:val="Normal"/>
    <w:rsid w:val="00612738"/>
    <w:pPr>
      <w:tabs>
        <w:tab w:val="left" w:pos="-720"/>
        <w:tab w:val="left" w:pos="0"/>
      </w:tabs>
      <w:suppressAutoHyphens/>
      <w:spacing w:line="480" w:lineRule="auto"/>
      <w:ind w:left="720" w:hanging="720"/>
      <w:jc w:val="both"/>
    </w:pPr>
    <w:rPr>
      <w:spacing w:val="-2"/>
      <w:sz w:val="22"/>
      <w:szCs w:val="20"/>
    </w:rPr>
  </w:style>
  <w:style w:type="paragraph" w:styleId="BodyTextIndent2">
    <w:name w:val="Body Text Indent 2"/>
    <w:basedOn w:val="Normal"/>
    <w:rsid w:val="00612738"/>
    <w:pPr>
      <w:tabs>
        <w:tab w:val="left" w:pos="-720"/>
        <w:tab w:val="left" w:pos="0"/>
      </w:tabs>
      <w:suppressAutoHyphens/>
      <w:ind w:left="720" w:hanging="720"/>
    </w:pPr>
    <w:rPr>
      <w:spacing w:val="-2"/>
      <w:sz w:val="22"/>
      <w:szCs w:val="20"/>
    </w:rPr>
  </w:style>
  <w:style w:type="paragraph" w:styleId="Title">
    <w:name w:val="Title"/>
    <w:basedOn w:val="Normal"/>
    <w:qFormat/>
    <w:rsid w:val="00723E20"/>
    <w:pPr>
      <w:jc w:val="center"/>
    </w:pPr>
    <w:rPr>
      <w:b/>
      <w:szCs w:val="20"/>
    </w:rPr>
  </w:style>
  <w:style w:type="paragraph" w:styleId="BodyText">
    <w:name w:val="Body Text"/>
    <w:basedOn w:val="Normal"/>
    <w:rsid w:val="00723E20"/>
    <w:pPr>
      <w:jc w:val="both"/>
    </w:pPr>
    <w:rPr>
      <w:szCs w:val="20"/>
    </w:rPr>
  </w:style>
  <w:style w:type="paragraph" w:styleId="Header">
    <w:name w:val="header"/>
    <w:basedOn w:val="Normal"/>
    <w:rsid w:val="00723E20"/>
    <w:pPr>
      <w:tabs>
        <w:tab w:val="center" w:pos="4320"/>
        <w:tab w:val="right" w:pos="8640"/>
      </w:tabs>
    </w:pPr>
    <w:rPr>
      <w:sz w:val="20"/>
      <w:szCs w:val="20"/>
    </w:rPr>
  </w:style>
  <w:style w:type="paragraph" w:styleId="Footer">
    <w:name w:val="footer"/>
    <w:basedOn w:val="Normal"/>
    <w:link w:val="FooterChar"/>
    <w:uiPriority w:val="99"/>
    <w:rsid w:val="00723E20"/>
    <w:pPr>
      <w:tabs>
        <w:tab w:val="center" w:pos="4320"/>
        <w:tab w:val="right" w:pos="8640"/>
      </w:tabs>
    </w:pPr>
    <w:rPr>
      <w:sz w:val="20"/>
      <w:szCs w:val="20"/>
    </w:rPr>
  </w:style>
  <w:style w:type="character" w:styleId="PageNumber">
    <w:name w:val="page number"/>
    <w:basedOn w:val="DefaultParagraphFont"/>
    <w:rsid w:val="00723E20"/>
  </w:style>
  <w:style w:type="paragraph" w:customStyle="1" w:styleId="MTDisplayEquation">
    <w:name w:val="MTDisplayEquation"/>
    <w:basedOn w:val="Normal"/>
    <w:next w:val="Normal"/>
    <w:rsid w:val="00EF1216"/>
    <w:pPr>
      <w:tabs>
        <w:tab w:val="center" w:pos="4320"/>
        <w:tab w:val="right" w:pos="8640"/>
      </w:tabs>
      <w:spacing w:line="360" w:lineRule="auto"/>
    </w:pPr>
    <w:rPr>
      <w:rFonts w:ascii="Arial" w:hAnsi="Arial" w:cs="Arial"/>
    </w:rPr>
  </w:style>
  <w:style w:type="character" w:customStyle="1" w:styleId="FooterChar">
    <w:name w:val="Footer Char"/>
    <w:basedOn w:val="DefaultParagraphFont"/>
    <w:link w:val="Footer"/>
    <w:uiPriority w:val="99"/>
    <w:rsid w:val="009E7A1E"/>
  </w:style>
  <w:style w:type="character" w:styleId="FollowedHyperlink">
    <w:name w:val="FollowedHyperlink"/>
    <w:basedOn w:val="DefaultParagraphFont"/>
    <w:rsid w:val="00603C7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1865E9"/>
    <w:rPr>
      <w:sz w:val="20"/>
      <w:szCs w:val="20"/>
    </w:rPr>
  </w:style>
  <w:style w:type="character" w:styleId="FootnoteReference">
    <w:name w:val="footnote reference"/>
    <w:basedOn w:val="DefaultParagraphFont"/>
    <w:semiHidden/>
    <w:rsid w:val="001865E9"/>
    <w:rPr>
      <w:vertAlign w:val="superscript"/>
    </w:rPr>
  </w:style>
  <w:style w:type="paragraph" w:styleId="BodyTextIndent">
    <w:name w:val="Body Text Indent"/>
    <w:basedOn w:val="Normal"/>
    <w:rsid w:val="00612738"/>
    <w:pPr>
      <w:tabs>
        <w:tab w:val="left" w:pos="-720"/>
        <w:tab w:val="left" w:pos="0"/>
      </w:tabs>
      <w:suppressAutoHyphens/>
      <w:spacing w:line="480" w:lineRule="auto"/>
      <w:ind w:left="720" w:hanging="720"/>
      <w:jc w:val="both"/>
    </w:pPr>
    <w:rPr>
      <w:spacing w:val="-2"/>
      <w:sz w:val="22"/>
      <w:szCs w:val="20"/>
    </w:rPr>
  </w:style>
  <w:style w:type="paragraph" w:styleId="BodyTextIndent2">
    <w:name w:val="Body Text Indent 2"/>
    <w:basedOn w:val="Normal"/>
    <w:rsid w:val="00612738"/>
    <w:pPr>
      <w:tabs>
        <w:tab w:val="left" w:pos="-720"/>
        <w:tab w:val="left" w:pos="0"/>
      </w:tabs>
      <w:suppressAutoHyphens/>
      <w:ind w:left="720" w:hanging="720"/>
    </w:pPr>
    <w:rPr>
      <w:spacing w:val="-2"/>
      <w:sz w:val="22"/>
      <w:szCs w:val="20"/>
    </w:rPr>
  </w:style>
  <w:style w:type="paragraph" w:styleId="Title">
    <w:name w:val="Title"/>
    <w:basedOn w:val="Normal"/>
    <w:qFormat/>
    <w:rsid w:val="00723E20"/>
    <w:pPr>
      <w:jc w:val="center"/>
    </w:pPr>
    <w:rPr>
      <w:b/>
      <w:szCs w:val="20"/>
    </w:rPr>
  </w:style>
  <w:style w:type="paragraph" w:styleId="BodyText">
    <w:name w:val="Body Text"/>
    <w:basedOn w:val="Normal"/>
    <w:rsid w:val="00723E20"/>
    <w:pPr>
      <w:jc w:val="both"/>
    </w:pPr>
    <w:rPr>
      <w:szCs w:val="20"/>
    </w:rPr>
  </w:style>
  <w:style w:type="paragraph" w:styleId="Header">
    <w:name w:val="header"/>
    <w:basedOn w:val="Normal"/>
    <w:rsid w:val="00723E20"/>
    <w:pPr>
      <w:tabs>
        <w:tab w:val="center" w:pos="4320"/>
        <w:tab w:val="right" w:pos="8640"/>
      </w:tabs>
    </w:pPr>
    <w:rPr>
      <w:sz w:val="20"/>
      <w:szCs w:val="20"/>
    </w:rPr>
  </w:style>
  <w:style w:type="paragraph" w:styleId="Footer">
    <w:name w:val="footer"/>
    <w:basedOn w:val="Normal"/>
    <w:link w:val="FooterChar"/>
    <w:uiPriority w:val="99"/>
    <w:rsid w:val="00723E20"/>
    <w:pPr>
      <w:tabs>
        <w:tab w:val="center" w:pos="4320"/>
        <w:tab w:val="right" w:pos="8640"/>
      </w:tabs>
    </w:pPr>
    <w:rPr>
      <w:sz w:val="20"/>
      <w:szCs w:val="20"/>
    </w:rPr>
  </w:style>
  <w:style w:type="character" w:styleId="PageNumber">
    <w:name w:val="page number"/>
    <w:basedOn w:val="DefaultParagraphFont"/>
    <w:rsid w:val="00723E20"/>
  </w:style>
  <w:style w:type="paragraph" w:customStyle="1" w:styleId="MTDisplayEquation">
    <w:name w:val="MTDisplayEquation"/>
    <w:basedOn w:val="Normal"/>
    <w:next w:val="Normal"/>
    <w:rsid w:val="00EF1216"/>
    <w:pPr>
      <w:tabs>
        <w:tab w:val="center" w:pos="4320"/>
        <w:tab w:val="right" w:pos="8640"/>
      </w:tabs>
      <w:spacing w:line="360" w:lineRule="auto"/>
    </w:pPr>
    <w:rPr>
      <w:rFonts w:ascii="Arial" w:hAnsi="Arial" w:cs="Arial"/>
    </w:rPr>
  </w:style>
  <w:style w:type="character" w:customStyle="1" w:styleId="FooterChar">
    <w:name w:val="Footer Char"/>
    <w:basedOn w:val="DefaultParagraphFont"/>
    <w:link w:val="Footer"/>
    <w:uiPriority w:val="99"/>
    <w:rsid w:val="009E7A1E"/>
  </w:style>
  <w:style w:type="character" w:styleId="FollowedHyperlink">
    <w:name w:val="FollowedHyperlink"/>
    <w:basedOn w:val="DefaultParagraphFont"/>
    <w:rsid w:val="00603C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1291">
      <w:bodyDiv w:val="1"/>
      <w:marLeft w:val="0"/>
      <w:marRight w:val="0"/>
      <w:marTop w:val="0"/>
      <w:marBottom w:val="0"/>
      <w:divBdr>
        <w:top w:val="none" w:sz="0" w:space="0" w:color="auto"/>
        <w:left w:val="none" w:sz="0" w:space="0" w:color="auto"/>
        <w:bottom w:val="none" w:sz="0" w:space="0" w:color="auto"/>
        <w:right w:val="none" w:sz="0" w:space="0" w:color="auto"/>
      </w:divBdr>
    </w:div>
    <w:div w:id="724794736">
      <w:bodyDiv w:val="1"/>
      <w:marLeft w:val="0"/>
      <w:marRight w:val="0"/>
      <w:marTop w:val="0"/>
      <w:marBottom w:val="0"/>
      <w:divBdr>
        <w:top w:val="none" w:sz="0" w:space="0" w:color="auto"/>
        <w:left w:val="none" w:sz="0" w:space="0" w:color="auto"/>
        <w:bottom w:val="none" w:sz="0" w:space="0" w:color="auto"/>
        <w:right w:val="none" w:sz="0" w:space="0" w:color="auto"/>
      </w:divBdr>
    </w:div>
    <w:div w:id="855534858">
      <w:bodyDiv w:val="1"/>
      <w:marLeft w:val="0"/>
      <w:marRight w:val="0"/>
      <w:marTop w:val="0"/>
      <w:marBottom w:val="0"/>
      <w:divBdr>
        <w:top w:val="none" w:sz="0" w:space="0" w:color="auto"/>
        <w:left w:val="none" w:sz="0" w:space="0" w:color="auto"/>
        <w:bottom w:val="none" w:sz="0" w:space="0" w:color="auto"/>
        <w:right w:val="none" w:sz="0" w:space="0" w:color="auto"/>
      </w:divBdr>
    </w:div>
    <w:div w:id="1026637110">
      <w:bodyDiv w:val="1"/>
      <w:marLeft w:val="0"/>
      <w:marRight w:val="0"/>
      <w:marTop w:val="0"/>
      <w:marBottom w:val="0"/>
      <w:divBdr>
        <w:top w:val="none" w:sz="0" w:space="0" w:color="auto"/>
        <w:left w:val="none" w:sz="0" w:space="0" w:color="auto"/>
        <w:bottom w:val="none" w:sz="0" w:space="0" w:color="auto"/>
        <w:right w:val="none" w:sz="0" w:space="0" w:color="auto"/>
      </w:divBdr>
    </w:div>
    <w:div w:id="190764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oleObject" Target="embeddings/oleObject1.bin"/><Relationship Id="rId34" Type="http://schemas.openxmlformats.org/officeDocument/2006/relationships/oleObject" Target="embeddings/oleObject10.bin"/><Relationship Id="rId42" Type="http://schemas.openxmlformats.org/officeDocument/2006/relationships/image" Target="media/image18.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oleObject" Target="embeddings/oleObject23.bin"/><Relationship Id="rId63" Type="http://schemas.openxmlformats.org/officeDocument/2006/relationships/image" Target="media/image26.wmf"/><Relationship Id="rId68" Type="http://schemas.openxmlformats.org/officeDocument/2006/relationships/oleObject" Target="embeddings/oleObject30.bin"/><Relationship Id="rId76" Type="http://schemas.openxmlformats.org/officeDocument/2006/relationships/image" Target="media/image34.wmf"/><Relationship Id="rId84" Type="http://schemas.openxmlformats.org/officeDocument/2006/relationships/image" Target="media/image41.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oleObject" Target="embeddings/oleObject6.bin"/><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oleObject" Target="embeddings/oleObject9.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16.bin"/><Relationship Id="rId53" Type="http://schemas.openxmlformats.org/officeDocument/2006/relationships/oleObject" Target="embeddings/oleObject22.bin"/><Relationship Id="rId58" Type="http://schemas.openxmlformats.org/officeDocument/2006/relationships/image" Target="media/image24.wmf"/><Relationship Id="rId66" Type="http://schemas.openxmlformats.org/officeDocument/2006/relationships/oleObject" Target="embeddings/oleObject29.bin"/><Relationship Id="rId74" Type="http://schemas.openxmlformats.org/officeDocument/2006/relationships/image" Target="media/image33.wmf"/><Relationship Id="rId79" Type="http://schemas.openxmlformats.org/officeDocument/2006/relationships/image" Target="media/image36.emf"/><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9.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1.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image" Target="media/image15.wmf"/><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29.wmf"/><Relationship Id="rId77" Type="http://schemas.openxmlformats.org/officeDocument/2006/relationships/oleObject" Target="embeddings/oleObject33.bin"/><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image" Target="media/image31.emf"/><Relationship Id="rId80" Type="http://schemas.openxmlformats.org/officeDocument/2006/relationships/image" Target="media/image37.emf"/><Relationship Id="rId85" Type="http://schemas.openxmlformats.org/officeDocument/2006/relationships/image" Target="media/image42.emf"/><Relationship Id="rId3" Type="http://schemas.microsoft.com/office/2007/relationships/stylesWithEffects" Target="stylesWithEffect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oleObject" Target="embeddings/oleObject4.bin"/><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7.bin"/><Relationship Id="rId59" Type="http://schemas.openxmlformats.org/officeDocument/2006/relationships/oleObject" Target="embeddings/oleObject25.bin"/><Relationship Id="rId67" Type="http://schemas.openxmlformats.org/officeDocument/2006/relationships/image" Target="media/image28.wmf"/><Relationship Id="rId20" Type="http://schemas.openxmlformats.org/officeDocument/2006/relationships/image" Target="media/image10.wmf"/><Relationship Id="rId41" Type="http://schemas.openxmlformats.org/officeDocument/2006/relationships/oleObject" Target="embeddings/oleObject14.bin"/><Relationship Id="rId54" Type="http://schemas.openxmlformats.org/officeDocument/2006/relationships/image" Target="media/image22.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2.bin"/><Relationship Id="rId83" Type="http://schemas.openxmlformats.org/officeDocument/2006/relationships/image" Target="media/image40.e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oleObject" Target="embeddings/oleObject2.bin"/><Relationship Id="rId28" Type="http://schemas.openxmlformats.org/officeDocument/2006/relationships/image" Target="media/image13.wmf"/><Relationship Id="rId36" Type="http://schemas.openxmlformats.org/officeDocument/2006/relationships/oleObject" Target="embeddings/oleObject11.bin"/><Relationship Id="rId49" Type="http://schemas.openxmlformats.org/officeDocument/2006/relationships/oleObject" Target="embeddings/oleObject19.bin"/><Relationship Id="rId57" Type="http://schemas.openxmlformats.org/officeDocument/2006/relationships/oleObject" Target="embeddings/oleObject24.bin"/><Relationship Id="rId10" Type="http://schemas.openxmlformats.org/officeDocument/2006/relationships/footer" Target="footer2.xml"/><Relationship Id="rId31" Type="http://schemas.openxmlformats.org/officeDocument/2006/relationships/oleObject" Target="embeddings/oleObject8.bin"/><Relationship Id="rId44" Type="http://schemas.openxmlformats.org/officeDocument/2006/relationships/image" Target="media/image19.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image" Target="media/image35.emf"/><Relationship Id="rId81" Type="http://schemas.openxmlformats.org/officeDocument/2006/relationships/image" Target="media/image38.emf"/><Relationship Id="rId86" Type="http://schemas.openxmlformats.org/officeDocument/2006/relationships/image" Target="media/image4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7346</Words>
  <Characters>41877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New Estimates of the Future Path of 401(k) Assets</vt:lpstr>
    </vt:vector>
  </TitlesOfParts>
  <Company>NBER</Company>
  <LinksUpToDate>false</LinksUpToDate>
  <CharactersWithSpaces>49125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Estimates of the Future Path of 401(k) Assets</dc:title>
  <dc:creator>Administration on Aging</dc:creator>
  <cp:keywords>401(k); estimates</cp:keywords>
  <cp:lastModifiedBy>Windows User</cp:lastModifiedBy>
  <cp:revision>2</cp:revision>
  <cp:lastPrinted>2007-03-30T17:34:00Z</cp:lastPrinted>
  <dcterms:created xsi:type="dcterms:W3CDTF">2016-08-23T18:27:00Z</dcterms:created>
  <dcterms:modified xsi:type="dcterms:W3CDTF">2016-08-23T18:27:00Z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Language">
    <vt:lpwstr>English</vt:lpwstr>
  </property>
  <property fmtid="{D5CDD505-2E9C-101B-9397-08002B2CF9AE}" pid="4" name="508 Compliant">
    <vt:lpwstr>BKH</vt:lpwstr>
  </property>
</Properties>
</file>